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62" w:rsidRPr="00734347" w:rsidRDefault="00B42762" w:rsidP="00665A5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line="276" w:lineRule="auto"/>
        <w:ind w:firstLine="360"/>
        <w:rPr>
          <w:rFonts w:asciiTheme="minorHAnsi" w:hAnsiTheme="minorHAnsi" w:cs="Arial"/>
          <w:color w:val="000000" w:themeColor="text1"/>
          <w:sz w:val="28"/>
          <w:szCs w:val="22"/>
          <w:lang w:val="el-GR"/>
        </w:rPr>
      </w:pPr>
      <w:r w:rsidRPr="00665A5D">
        <w:rPr>
          <w:rFonts w:asciiTheme="minorHAnsi" w:hAnsiTheme="minorHAnsi" w:cs="Arial"/>
          <w:color w:val="000000" w:themeColor="text1"/>
          <w:sz w:val="28"/>
          <w:szCs w:val="22"/>
          <w:shd w:val="clear" w:color="auto" w:fill="8DB3E2" w:themeFill="text2" w:themeFillTint="66"/>
          <w:lang w:val="el-GR"/>
        </w:rPr>
        <w:t>ΠΑΡΑΡΤΗΜΑ</w:t>
      </w:r>
      <w:r w:rsidRPr="00734347">
        <w:rPr>
          <w:rFonts w:asciiTheme="minorHAnsi" w:hAnsiTheme="minorHAnsi" w:cs="Arial"/>
          <w:color w:val="000000" w:themeColor="text1"/>
          <w:sz w:val="28"/>
          <w:szCs w:val="22"/>
          <w:lang w:val="el-GR"/>
        </w:rPr>
        <w:t xml:space="preserve"> Ι</w:t>
      </w:r>
    </w:p>
    <w:p w:rsidR="00B42762" w:rsidRPr="00552EEB" w:rsidRDefault="00B42762" w:rsidP="003F6AB1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color w:val="auto"/>
          <w:spacing w:val="4"/>
          <w:sz w:val="22"/>
          <w:szCs w:val="22"/>
          <w:lang w:val="el-GR"/>
        </w:rPr>
      </w:pPr>
    </w:p>
    <w:p w:rsidR="00B42762" w:rsidRPr="00552EEB" w:rsidRDefault="00B42762" w:rsidP="003F6AB1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color w:val="auto"/>
          <w:spacing w:val="4"/>
          <w:sz w:val="22"/>
          <w:szCs w:val="22"/>
          <w:lang w:val="el-GR"/>
        </w:rPr>
        <w:t>ΑΝΑΛΥΣΗ ΣΤΟΙΧΕΙΩΝ ΕΓΓΕΓΡΑΜΜΕΝΗΣ</w:t>
      </w:r>
      <w:r w:rsidRPr="00552EEB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</w:rPr>
        <w:footnoteReference w:id="2"/>
      </w:r>
      <w:r w:rsidRPr="00552EEB">
        <w:rPr>
          <w:rFonts w:asciiTheme="minorHAnsi" w:hAnsiTheme="minorHAnsi" w:cs="Arial"/>
          <w:color w:val="auto"/>
          <w:spacing w:val="4"/>
          <w:sz w:val="22"/>
          <w:szCs w:val="22"/>
          <w:lang w:val="el-GR"/>
        </w:rPr>
        <w:t xml:space="preserve"> ΑΝΕΡΓΙΑΣ</w:t>
      </w:r>
      <w:r w:rsidR="009D7898" w:rsidRPr="00552EEB">
        <w:rPr>
          <w:rFonts w:asciiTheme="minorHAnsi" w:hAnsiTheme="minorHAnsi" w:cs="Arial"/>
          <w:color w:val="auto"/>
          <w:spacing w:val="4"/>
          <w:sz w:val="22"/>
          <w:szCs w:val="22"/>
          <w:lang w:val="el-GR"/>
        </w:rPr>
        <w:t xml:space="preserve"> Κ</w:t>
      </w:r>
      <w:r w:rsidR="007A712C" w:rsidRPr="00552EEB">
        <w:rPr>
          <w:rFonts w:asciiTheme="minorHAnsi" w:hAnsiTheme="minorHAnsi" w:cs="Arial"/>
          <w:color w:val="auto"/>
          <w:spacing w:val="4"/>
          <w:sz w:val="22"/>
          <w:szCs w:val="22"/>
          <w:lang w:val="el-GR"/>
        </w:rPr>
        <w:t>ΑΙ</w:t>
      </w:r>
      <w:r w:rsidR="009D7898" w:rsidRPr="00552EEB">
        <w:rPr>
          <w:rFonts w:asciiTheme="minorHAnsi" w:hAnsiTheme="minorHAnsi" w:cs="Arial"/>
          <w:color w:val="auto"/>
          <w:spacing w:val="4"/>
          <w:sz w:val="22"/>
          <w:szCs w:val="22"/>
          <w:lang w:val="el-GR"/>
        </w:rPr>
        <w:t xml:space="preserve"> ΣΤΟΙΧΕΙΩΝ ΑΠΟ ΑΛΛΕΣ ΠΗΓΕΣ</w:t>
      </w:r>
    </w:p>
    <w:p w:rsidR="00B42762" w:rsidRPr="00552EEB" w:rsidRDefault="00552EEB" w:rsidP="00552EE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2A47A5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8F2FC5">
        <w:rPr>
          <w:rFonts w:asciiTheme="minorHAnsi" w:hAnsiTheme="minorHAnsi" w:cs="Arial"/>
          <w:i/>
          <w:iCs/>
          <w:color w:val="auto"/>
          <w:lang w:val="el-GR"/>
        </w:rPr>
        <w:t>Φεβρουαρίου</w:t>
      </w:r>
      <w:r w:rsidR="00066E25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23FD6">
        <w:rPr>
          <w:rFonts w:asciiTheme="minorHAnsi" w:hAnsiTheme="minorHAnsi" w:cs="Arial"/>
          <w:i/>
          <w:iCs/>
          <w:color w:val="auto"/>
          <w:lang w:val="el-GR"/>
        </w:rPr>
        <w:t>2013</w:t>
      </w:r>
      <w:r w:rsidRPr="002A47A5">
        <w:rPr>
          <w:rFonts w:asciiTheme="minorHAnsi" w:hAnsiTheme="minorHAnsi" w:cs="Arial"/>
          <w:i/>
          <w:iCs/>
          <w:color w:val="auto"/>
          <w:lang w:val="el-GR"/>
        </w:rPr>
        <w:t xml:space="preserve"> και 201</w:t>
      </w:r>
      <w:r w:rsidR="00323FD6">
        <w:rPr>
          <w:rFonts w:asciiTheme="minorHAnsi" w:hAnsiTheme="minorHAnsi" w:cs="Arial"/>
          <w:i/>
          <w:iCs/>
          <w:color w:val="auto"/>
          <w:lang w:val="el-GR"/>
        </w:rPr>
        <w:t>4</w:t>
      </w:r>
      <w:r w:rsidRPr="0057480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57480F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57480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</w:t>
      </w:r>
      <w:r w:rsidR="00B42762" w:rsidRPr="00552EEB">
        <w:rPr>
          <w:rFonts w:asciiTheme="minorHAnsi" w:hAnsiTheme="minorHAnsi"/>
          <w:i/>
          <w:iCs/>
          <w:color w:val="auto"/>
          <w:sz w:val="22"/>
          <w:szCs w:val="22"/>
          <w:lang w:val="el-GR"/>
        </w:rPr>
        <w:t xml:space="preserve">(σχετικοί Πίνακες 1-8) </w:t>
      </w:r>
    </w:p>
    <w:p w:rsidR="00B42762" w:rsidRPr="00552EEB" w:rsidRDefault="00B42762" w:rsidP="003F6AB1">
      <w:pPr>
        <w:pStyle w:val="Title"/>
        <w:spacing w:line="276" w:lineRule="auto"/>
        <w:jc w:val="both"/>
        <w:rPr>
          <w:rFonts w:asciiTheme="minorHAnsi" w:hAnsiTheme="minorHAnsi"/>
          <w:color w:val="auto"/>
          <w:spacing w:val="4"/>
          <w:sz w:val="22"/>
          <w:szCs w:val="22"/>
          <w:u w:val="single"/>
        </w:rPr>
      </w:pPr>
    </w:p>
    <w:p w:rsidR="00BE0DA6" w:rsidRPr="00552EEB" w:rsidRDefault="00B42762" w:rsidP="00BE0DA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>Γενικά:</w:t>
      </w:r>
      <w:r w:rsidR="002A1A59" w:rsidRPr="002A1A59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A70649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Από την εμφάνιση της οικονομικής ύφεσης και τ</w:t>
      </w:r>
      <w:r w:rsidR="00DF486D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επιπτώσεων</w:t>
      </w:r>
      <w:r w:rsidR="00A70649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στην αγορά εργασίας</w:t>
      </w:r>
      <w:r w:rsidR="00DF486D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A70649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 τέλος του 2008, η ανεργία παρουσιάζει συνεχή αύξηση τα τελευταία </w:t>
      </w:r>
      <w:r w:rsidR="00E80F0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πέντε</w:t>
      </w:r>
      <w:r w:rsidR="00A70649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χρόνια με μόνη εξαίρεση την πολύ προσωρινή μείωση της εντός του 2010</w:t>
      </w:r>
      <w:r w:rsidR="00DF486D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κυρίως λόγω της λειτουργίας των Σχεδίων Επιδοτούμενης Απασχόλησης του Τμήματος Εργασίας</w:t>
      </w:r>
      <w:r w:rsidR="00A70649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Τον </w:t>
      </w:r>
      <w:r w:rsidR="008F2FC5">
        <w:rPr>
          <w:rFonts w:asciiTheme="minorHAnsi" w:hAnsiTheme="minorHAnsi" w:cs="Arial"/>
          <w:b w:val="0"/>
          <w:iCs/>
          <w:color w:val="auto"/>
          <w:sz w:val="22"/>
          <w:lang w:val="el-GR"/>
        </w:rPr>
        <w:t>Φεβρουάριο</w:t>
      </w:r>
      <w:r w:rsidR="00066E25" w:rsidRPr="00D03C51">
        <w:rPr>
          <w:rFonts w:asciiTheme="minorHAnsi" w:hAnsiTheme="minorHAnsi" w:cs="Arial"/>
          <w:b w:val="0"/>
          <w:bCs w:val="0"/>
          <w:color w:val="auto"/>
          <w:sz w:val="20"/>
          <w:szCs w:val="22"/>
          <w:lang w:val="el-GR"/>
        </w:rPr>
        <w:t xml:space="preserve"> </w:t>
      </w:r>
      <w:r w:rsid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του</w:t>
      </w:r>
      <w:r w:rsidR="00323FD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2014</w:t>
      </w:r>
      <w:r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 αριθμός των εγγεγραμμένων ανέργων</w:t>
      </w:r>
      <w:r w:rsidR="00066E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παρουσίασε </w:t>
      </w:r>
      <w:r w:rsidR="00AD4CC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πέρσι </w:t>
      </w:r>
      <w:r w:rsidRPr="00552EEB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φτάνοντας τ</w:t>
      </w:r>
      <w:r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 </w:t>
      </w:r>
      <w:r w:rsidR="00323FD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8F2FC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3,204</w:t>
      </w:r>
      <w:r w:rsidR="00066E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D75CA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BA7EF3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8F2FC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46,109</w:t>
      </w:r>
      <w:r w:rsidR="00066E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F2286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CA6200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τον αντίστοιχο μήνα του 201</w:t>
      </w:r>
      <w:r w:rsidR="00323FD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CA6200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A6200" w:rsidRPr="00552EE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>Ο αριθμός των εγγε</w:t>
      </w:r>
      <w:r w:rsidR="00CA6200" w:rsidRPr="00552EE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softHyphen/>
        <w:t xml:space="preserve">γραμμένων ανέργων ήταν </w:t>
      </w:r>
      <w:r w:rsidR="00323FD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37,</w:t>
      </w:r>
      <w:r w:rsidR="008F2FC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874</w:t>
      </w:r>
      <w:r w:rsidR="00066E2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A6200" w:rsidRPr="00552EE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>τον αντίστοιχο μήνα του 201</w:t>
      </w:r>
      <w:r w:rsidR="00323FD6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>2</w:t>
      </w:r>
      <w:r w:rsidR="00CA6200" w:rsidRPr="00552EE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 xml:space="preserve"> και </w:t>
      </w:r>
      <w:r w:rsidR="00323FD6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>2</w:t>
      </w:r>
      <w:r w:rsidR="008F2FC5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 xml:space="preserve">9,806 </w:t>
      </w:r>
      <w:r w:rsidR="00066E25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 xml:space="preserve"> </w:t>
      </w:r>
      <w:r w:rsidR="00CA6200" w:rsidRPr="00552EE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>το 20</w:t>
      </w:r>
      <w:r w:rsidR="00AD4DEF" w:rsidRPr="00552EEB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>1</w:t>
      </w:r>
      <w:r w:rsidR="00066E25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>1</w:t>
      </w:r>
      <w:r w:rsidR="00FC3284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 xml:space="preserve"> </w:t>
      </w:r>
      <w:r w:rsidRPr="00552EEB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[</w:t>
      </w:r>
      <w:r w:rsidR="00443736" w:rsidRPr="00552EEB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βλέπε πίνακα </w:t>
      </w:r>
      <w:r w:rsidRPr="00552EEB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1].</w:t>
      </w:r>
    </w:p>
    <w:p w:rsidR="005B20CD" w:rsidRPr="00552EEB" w:rsidRDefault="005B20CD" w:rsidP="005B20CD">
      <w:pPr>
        <w:pStyle w:val="ListParagraph"/>
        <w:spacing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452BD9" w:rsidRPr="00552EEB" w:rsidRDefault="00452BD9" w:rsidP="00552EE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>Φύλο:</w:t>
      </w:r>
      <w:r w:rsidR="007617C9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7251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αριθμός</w:t>
      </w:r>
      <w:r w:rsidR="00013E6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άνεργων αντρών είναι 27,</w:t>
      </w:r>
      <w:r w:rsidR="008F2FC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296</w:t>
      </w:r>
      <w:r w:rsidR="00E7251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αντιπροσωπεύει το </w:t>
      </w:r>
      <w:r w:rsidR="005F31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51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των εγγεγραμμένων ανέργων, ενώ ο αριθμός των 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άνε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ργων γυναικών είναι</w:t>
      </w:r>
      <w:r w:rsidR="00E7251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013E6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5,</w:t>
      </w:r>
      <w:r w:rsidR="008F2FC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908</w:t>
      </w:r>
      <w:r w:rsidR="00E7251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άνε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ργων γυναικών αυξήθηκε κατά </w:t>
      </w:r>
      <w:r w:rsidR="00013E6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1403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ή </w:t>
      </w:r>
      <w:r w:rsidR="008F2FC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3,463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και των αντρών κατά </w:t>
      </w:r>
      <w:r w:rsidR="00013E6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013E6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</w:t>
      </w:r>
      <w:r w:rsidR="008F2FC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632</w:t>
      </w:r>
      <w:r w:rsidR="00552EEB"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B171E"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[</w:t>
      </w:r>
      <w:r w:rsidRPr="00552EEB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βλέπε πίνακα 2]</w:t>
      </w:r>
      <w:r w:rsidRPr="00552E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452BD9" w:rsidRDefault="00452BD9" w:rsidP="00D100FF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(σύνολο και κατά φύλο) τους τελευταίους 1</w:t>
      </w:r>
      <w:r w:rsidR="0034526A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</w:t>
      </w:r>
      <w:r w:rsidR="00D67AF4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</w:p>
    <w:p w:rsidR="005E7609" w:rsidRDefault="005E7609" w:rsidP="00D100FF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5E7609" w:rsidRPr="00552EEB" w:rsidRDefault="005E7609" w:rsidP="005E7609">
      <w:pPr>
        <w:pStyle w:val="ListParagraph"/>
        <w:spacing w:line="276" w:lineRule="auto"/>
        <w:jc w:val="center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5E7609">
        <w:rPr>
          <w:rFonts w:asciiTheme="minorHAnsi" w:hAnsiTheme="minorHAnsi" w:cs="Arial"/>
          <w:b w:val="0"/>
          <w:noProof/>
          <w:color w:val="auto"/>
          <w:sz w:val="22"/>
          <w:szCs w:val="22"/>
        </w:rPr>
        <w:drawing>
          <wp:inline distT="0" distB="0" distL="0" distR="0">
            <wp:extent cx="4829175" cy="25908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710E" w:rsidRPr="00552EEB" w:rsidRDefault="0055710E" w:rsidP="00D100FF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DD7133" w:rsidRPr="00DD7133" w:rsidRDefault="00DD7133" w:rsidP="00D027BA">
      <w:pPr>
        <w:pStyle w:val="ListParagraph"/>
        <w:spacing w:line="276" w:lineRule="auto"/>
        <w:ind w:left="567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452BD9" w:rsidRPr="00552EEB" w:rsidRDefault="00452BD9" w:rsidP="00A92F09">
      <w:pPr>
        <w:pStyle w:val="ListParagraph"/>
        <w:spacing w:line="276" w:lineRule="auto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552EEB" w:rsidRPr="0057480F" w:rsidRDefault="00552EEB" w:rsidP="00552EE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>Η μεγαλύτερη</w:t>
      </w:r>
      <w:r w:rsidR="001C10E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7480F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ποσοστιαία</w:t>
      </w:r>
      <w:r w:rsidR="00CC6B4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σιάστηκε στ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7480F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842324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CC6B4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</w:t>
      </w:r>
      <w:r w:rsidR="00CC6B4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εμεσού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D8099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20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9D005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</w:t>
      </w:r>
      <w:r w:rsidR="00D8099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9D005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42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D005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C6B4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D8099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9D005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D8099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</w:t>
      </w:r>
      <w:r w:rsidR="009D005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365</w:t>
      </w:r>
      <w:r w:rsidRPr="0057480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CA3AE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7480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</w:t>
      </w:r>
      <w:r w:rsidR="002A1A59" w:rsidRPr="002A1A5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E80F0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τους τελευταίους 12 μήνες [βλέπε πίνακα 3]</w:t>
      </w:r>
      <w:r w:rsidRPr="0057480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</w:p>
    <w:p w:rsidR="00552EEB" w:rsidRPr="0057480F" w:rsidRDefault="009D005C" w:rsidP="00552EEB">
      <w:pPr>
        <w:pStyle w:val="ListParagraph"/>
        <w:spacing w:after="200" w:line="276" w:lineRule="auto"/>
        <w:jc w:val="center"/>
        <w:rPr>
          <w:rFonts w:asciiTheme="minorHAnsi" w:hAnsiTheme="minorHAnsi" w:cs="Arial"/>
          <w:b w:val="0"/>
          <w:noProof/>
          <w:color w:val="auto"/>
          <w:sz w:val="22"/>
          <w:szCs w:val="22"/>
          <w:lang w:val="el-GR"/>
        </w:rPr>
      </w:pPr>
      <w:r w:rsidRPr="009D005C">
        <w:rPr>
          <w:rFonts w:asciiTheme="minorHAnsi" w:hAnsiTheme="minorHAnsi" w:cs="Arial"/>
          <w:b w:val="0"/>
          <w:noProof/>
          <w:color w:val="auto"/>
          <w:sz w:val="22"/>
          <w:szCs w:val="22"/>
        </w:rPr>
        <w:drawing>
          <wp:inline distT="0" distB="0" distL="0" distR="0">
            <wp:extent cx="4819650" cy="273367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BBE" w:rsidRPr="00221312" w:rsidRDefault="001C6BBE" w:rsidP="00221312">
      <w:pPr>
        <w:spacing w:line="276" w:lineRule="auto"/>
        <w:ind w:right="956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BC5818" w:rsidRPr="008B59AD" w:rsidRDefault="009D005C" w:rsidP="008B59A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716560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Οι μεγαλύτερες αριθμη</w:t>
      </w:r>
      <w:bookmarkStart w:id="0" w:name="_GoBack"/>
      <w:bookmarkEnd w:id="0"/>
      <w:r w:rsidRPr="00716560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τικές αυξήσεις κατά </w:t>
      </w:r>
      <w:r w:rsidRPr="00716560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716560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716560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ς</w:t>
      </w:r>
      <w:r w:rsidRPr="007165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2013 παρουσιάστηκαν στους τομείς των τραπεζών (κατά 1,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33</w:t>
      </w:r>
      <w:r w:rsidRPr="007165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 άτομα), στον τομέα των ξενοδοχείων (1.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204</w:t>
      </w:r>
      <w:r w:rsidRPr="007165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στον τομέα της μεταποίησης (κατά 66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7165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και στον τομέα του εμπορίου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437</w:t>
      </w:r>
      <w:r w:rsidRPr="007165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4034F" w:rsidRPr="00BA506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</w:t>
      </w:r>
      <w:r w:rsidR="00E80F0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[βλέπε πίνακα 4]</w:t>
      </w:r>
      <w:r w:rsidR="0014034F" w:rsidRPr="00BA506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</w:p>
    <w:p w:rsidR="00BC5818" w:rsidRPr="0057480F" w:rsidRDefault="00BC5818" w:rsidP="00BC581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BC5818" w:rsidRPr="009250F4" w:rsidRDefault="00221312" w:rsidP="00286FC5">
      <w:pPr>
        <w:pStyle w:val="ListParagraph"/>
        <w:spacing w:after="200" w:line="276" w:lineRule="auto"/>
        <w:ind w:left="993"/>
        <w:rPr>
          <w:rFonts w:asciiTheme="minorHAnsi" w:hAnsiTheme="minorHAnsi" w:cs="Arial"/>
          <w:b w:val="0"/>
          <w:noProof/>
          <w:color w:val="auto"/>
          <w:sz w:val="22"/>
          <w:szCs w:val="22"/>
          <w:lang w:val="el-GR"/>
        </w:rPr>
      </w:pPr>
      <w:r w:rsidRPr="00221312">
        <w:rPr>
          <w:rFonts w:asciiTheme="minorHAnsi" w:hAnsiTheme="minorHAnsi" w:cs="Arial"/>
          <w:b w:val="0"/>
          <w:noProof/>
          <w:color w:val="auto"/>
          <w:sz w:val="22"/>
          <w:szCs w:val="22"/>
        </w:rPr>
        <w:drawing>
          <wp:inline distT="0" distB="0" distL="0" distR="0">
            <wp:extent cx="4857750" cy="276225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BC1" w:rsidRPr="008600ED" w:rsidRDefault="00E43BC1" w:rsidP="008600ED">
      <w:pPr>
        <w:tabs>
          <w:tab w:val="left" w:pos="1080"/>
        </w:tabs>
        <w:spacing w:line="276" w:lineRule="auto"/>
        <w:ind w:right="866"/>
        <w:rPr>
          <w:rFonts w:asciiTheme="minorHAnsi" w:hAnsiTheme="minorHAnsi" w:cs="Arial"/>
          <w:b w:val="0"/>
          <w:noProof/>
          <w:color w:val="auto"/>
          <w:sz w:val="22"/>
          <w:szCs w:val="22"/>
          <w:lang w:val="el-GR"/>
        </w:rPr>
      </w:pPr>
    </w:p>
    <w:p w:rsidR="00BE0DA6" w:rsidRPr="002B4C11" w:rsidRDefault="00B42762" w:rsidP="002B4C11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2B4C11">
        <w:rPr>
          <w:rFonts w:asciiTheme="minorHAnsi" w:hAnsiTheme="minorHAnsi"/>
          <w:color w:val="auto"/>
          <w:sz w:val="22"/>
          <w:szCs w:val="22"/>
          <w:lang w:val="el-GR"/>
        </w:rPr>
        <w:lastRenderedPageBreak/>
        <w:t xml:space="preserve">Επαγγελματικές κατηγορίες: </w:t>
      </w:r>
      <w:r w:rsidR="002B4C11" w:rsidRPr="002B4C1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μεγαλύτερες αριθμητικές αυξήσεις παρουσιάστηκαν στις κατηγορίες τω</w:t>
      </w:r>
      <w:r w:rsidR="00607D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ν γραφέων/δακτυλογράφων (κατά </w:t>
      </w:r>
      <w:r w:rsidR="00780A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1,7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27</w:t>
      </w:r>
      <w:r w:rsidR="002B4C11" w:rsidRPr="002B4C1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), </w:t>
      </w:r>
      <w:r w:rsidR="00A21871" w:rsidRPr="002B4C1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A2187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ους υπαλλήλους υπηρεσιών (κατά </w:t>
      </w:r>
      <w:r w:rsidR="00780A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098</w:t>
      </w:r>
      <w:r w:rsidR="00A2187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A21871" w:rsidRPr="002B4C1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(κατά 939 άτομα), 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προσοντούχους/ειδικούς (κατά 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811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στους τεχνικούς βοηθούς (κατά 7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63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="00A2187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στου</w:t>
      </w:r>
      <w:r w:rsidR="00780A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ς </w:t>
      </w:r>
      <w:r w:rsidR="0092085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ανειδίκευτους εργάτες (κατά 728 άτομα) </w:t>
      </w:r>
      <w:r w:rsidR="00A407B6" w:rsidRPr="002B4C11">
        <w:rPr>
          <w:rFonts w:asciiTheme="minorHAnsi" w:hAnsiTheme="minorHAnsi"/>
          <w:b w:val="0"/>
          <w:bCs w:val="0"/>
          <w:color w:val="auto"/>
          <w:sz w:val="22"/>
          <w:szCs w:val="22"/>
          <w:lang w:val="el-GR"/>
        </w:rPr>
        <w:t>[</w:t>
      </w:r>
      <w:r w:rsidR="00443736" w:rsidRPr="002B4C11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  <w:lang w:val="el-GR"/>
        </w:rPr>
        <w:t xml:space="preserve">βλέπε πίνακα </w:t>
      </w:r>
      <w:r w:rsidRPr="002B4C11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  <w:lang w:val="el-GR"/>
        </w:rPr>
        <w:t xml:space="preserve">5]. </w:t>
      </w:r>
    </w:p>
    <w:p w:rsidR="00A92F09" w:rsidRPr="00C2138B" w:rsidRDefault="00A92F09" w:rsidP="00A92F09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16"/>
          <w:szCs w:val="16"/>
          <w:lang w:val="el-GR"/>
        </w:rPr>
      </w:pPr>
    </w:p>
    <w:p w:rsidR="00A92F09" w:rsidRPr="00552EEB" w:rsidRDefault="00A92F09" w:rsidP="00A92F09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επιλεγμένες επαγγελματικές κατηγορίες τους τελευταίους 1</w:t>
      </w:r>
      <w:r w:rsidR="00516C03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5C444C" w:rsidRDefault="005C444C" w:rsidP="00A92F09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963FF6" w:rsidRPr="00552EEB" w:rsidRDefault="00277783" w:rsidP="009155EC">
      <w:pPr>
        <w:pStyle w:val="ListParagraph"/>
        <w:spacing w:line="276" w:lineRule="auto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277783">
        <w:rPr>
          <w:rFonts w:asciiTheme="minorHAnsi" w:hAnsiTheme="minorHAnsi" w:cs="Arial"/>
          <w:b w:val="0"/>
          <w:noProof/>
          <w:color w:val="auto"/>
          <w:sz w:val="22"/>
          <w:szCs w:val="22"/>
        </w:rPr>
        <w:drawing>
          <wp:inline distT="0" distB="0" distL="0" distR="0">
            <wp:extent cx="5181600" cy="2676525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3DD" w:rsidRPr="00552EEB" w:rsidRDefault="00CA53DD" w:rsidP="00387FAC">
      <w:pPr>
        <w:pStyle w:val="ListParagraph"/>
        <w:spacing w:line="276" w:lineRule="auto"/>
        <w:ind w:left="900" w:right="866"/>
        <w:jc w:val="center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223D74" w:rsidRPr="00DD7133" w:rsidRDefault="0050117D" w:rsidP="0095449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16"/>
          <w:szCs w:val="16"/>
          <w:lang w:val="el-GR"/>
        </w:rPr>
      </w:pPr>
      <w:r w:rsidRPr="0095449E">
        <w:rPr>
          <w:rFonts w:asciiTheme="minorHAnsi" w:hAnsiTheme="minorHAnsi" w:cs="Arial"/>
          <w:color w:val="auto"/>
          <w:sz w:val="22"/>
          <w:szCs w:val="22"/>
          <w:lang w:val="el-GR"/>
        </w:rPr>
        <w:t>Διάρκεια εγγραφής</w:t>
      </w:r>
      <w:r w:rsidRPr="0095449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:</w:t>
      </w:r>
      <w:r w:rsidR="002A1A59" w:rsidRPr="002A1A5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856CF2" w:rsidRPr="00140A7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="00856CF2" w:rsidRPr="00F0569B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6 μήνες</w:t>
      </w:r>
      <w:r w:rsidR="00856CF2" w:rsidRPr="00140A7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τα 2</w:t>
      </w:r>
      <w:r w:rsidR="00856CF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1,322</w:t>
      </w:r>
      <w:r w:rsidR="00856CF2" w:rsidRPr="00140A7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(αύξηση κατά </w:t>
      </w:r>
      <w:r w:rsidR="00856CF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8,336</w:t>
      </w:r>
      <w:r w:rsidR="00856CF2" w:rsidRPr="00140A7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856CF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</w:t>
      </w:r>
      <w:r w:rsidR="00856CF2" w:rsidRPr="00140A7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%) που αντιπροσωπεύει το </w:t>
      </w:r>
      <w:r w:rsidR="00856CF2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40</w:t>
      </w:r>
      <w:r w:rsidR="00856CF2" w:rsidRPr="00140A7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συνόλου των εγγεγραμμένων ανέργων. Ο αριθμός των ανέργων που ήταν εγγεγραμμένοι στα γραφεία της ΔΥΑ για </w:t>
      </w:r>
      <w:r w:rsidR="00856CF2" w:rsidRPr="00F0569B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856CF2" w:rsidRPr="00140A7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9</w:t>
      </w:r>
      <w:r w:rsidR="00856CF2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,765</w:t>
      </w:r>
      <w:r w:rsidR="00856CF2" w:rsidRPr="00140A7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(αύξηση κατά 4,1</w:t>
      </w:r>
      <w:r w:rsidR="00856CF2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96</w:t>
      </w:r>
      <w:r w:rsidR="00856CF2" w:rsidRPr="00140A7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ή 7</w:t>
      </w:r>
      <w:r w:rsidR="00856CF2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856CF2" w:rsidRPr="00140A7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%) που αντιπροσωπεύει το 18% του συνόλου των εγγεγραμμένων ανέργων. </w:t>
      </w:r>
      <w:r w:rsidR="00223D74" w:rsidRPr="0095449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κατά διάρκεια εγγραφής τους τελευταίους 12 μήνες </w:t>
      </w:r>
      <w:r w:rsidR="00223D74" w:rsidRPr="0095449E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[βλέπε πίνακα 6].</w:t>
      </w:r>
    </w:p>
    <w:p w:rsidR="00DD7133" w:rsidRPr="0095449E" w:rsidRDefault="00856CF2" w:rsidP="00F04995">
      <w:pPr>
        <w:pStyle w:val="ListParagraph"/>
        <w:spacing w:after="200" w:line="276" w:lineRule="auto"/>
        <w:jc w:val="center"/>
        <w:rPr>
          <w:rFonts w:asciiTheme="minorHAnsi" w:hAnsiTheme="minorHAnsi" w:cs="Arial"/>
          <w:sz w:val="16"/>
          <w:szCs w:val="16"/>
          <w:lang w:val="el-GR"/>
        </w:rPr>
      </w:pPr>
      <w:r w:rsidRPr="00856CF2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>
            <wp:extent cx="5000625" cy="2495550"/>
            <wp:effectExtent l="19050" t="0" r="9525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69AA" w:rsidRPr="0035492E" w:rsidRDefault="005A52D7" w:rsidP="00FB69A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lastRenderedPageBreak/>
        <w:t>Ηλικία:</w:t>
      </w:r>
      <w:r w:rsidR="002A1A59" w:rsidRPr="002A1A59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ύξηση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της  ανεργίας παρουσιάστηκ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όλες τις </w:t>
      </w:r>
      <w:r w:rsidR="00766400" w:rsidRPr="006B3742">
        <w:rPr>
          <w:rFonts w:asciiTheme="minorHAnsi" w:hAnsiTheme="minorHAnsi" w:cs="Arial"/>
          <w:color w:val="auto"/>
          <w:sz w:val="22"/>
          <w:szCs w:val="22"/>
          <w:lang w:val="el-GR"/>
        </w:rPr>
        <w:t>ηλικιακές ομάδες</w:t>
      </w:r>
      <w:r w:rsidR="00766400" w:rsidRPr="006B3742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μεγαλύτερες αυξήσεις, σε απόλυτους αριθμούς, παρουσιάστηκαν στις ηλικιακές ομάδες 50-59 ετών (κατά 2,</w:t>
      </w:r>
      <w:r w:rsidR="0076640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552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30-39 ετών (κατά 1,</w:t>
      </w:r>
      <w:r w:rsidR="0076640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302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40-49 ετών (κατά 1,</w:t>
      </w:r>
      <w:r w:rsidR="0076640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032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) και 60-64 ετών (κατά </w:t>
      </w:r>
      <w:r w:rsidR="0076640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865</w:t>
      </w:r>
      <w:r w:rsidR="00766400" w:rsidRPr="006B37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 </w:t>
      </w:r>
      <w:r w:rsidR="00FB69AA" w:rsidRPr="0035492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 παρουσιάζεται η διακύμανση του αριθμού των ανέργων σε επιλεγμένες ηλικιακές ομάδες τους τελευταίους 12 μήνες</w:t>
      </w:r>
      <w:r w:rsidR="004D7A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5800DC" w:rsidRPr="004A54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[</w:t>
      </w:r>
      <w:r w:rsidR="005800DC" w:rsidRPr="00FB69A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βλέπε πίνακες 7,</w:t>
      </w:r>
      <w:r w:rsidR="005800DC" w:rsidRPr="004A543C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8].</w:t>
      </w:r>
    </w:p>
    <w:p w:rsidR="005A52D7" w:rsidRPr="00FB69AA" w:rsidRDefault="00766400" w:rsidP="00766400">
      <w:pPr>
        <w:pStyle w:val="ListParagraph"/>
        <w:spacing w:after="200" w:line="276" w:lineRule="auto"/>
        <w:ind w:left="1276"/>
        <w:rPr>
          <w:rFonts w:asciiTheme="minorHAnsi" w:hAnsiTheme="minorHAnsi" w:cs="Arial"/>
          <w:noProof/>
          <w:color w:val="auto"/>
          <w:sz w:val="22"/>
          <w:szCs w:val="22"/>
          <w:lang w:val="el-GR"/>
        </w:rPr>
      </w:pPr>
      <w:r w:rsidRPr="00766400">
        <w:rPr>
          <w:rFonts w:asciiTheme="minorHAnsi" w:hAnsiTheme="minorHAnsi" w:cs="Arial"/>
          <w:noProof/>
          <w:color w:val="auto"/>
          <w:sz w:val="22"/>
          <w:szCs w:val="22"/>
        </w:rPr>
        <w:drawing>
          <wp:inline distT="0" distB="0" distL="0" distR="0">
            <wp:extent cx="4848225" cy="2524125"/>
            <wp:effectExtent l="19050" t="0" r="9525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52D7" w:rsidRPr="00B41170" w:rsidRDefault="005A52D7" w:rsidP="005A52D7">
      <w:pPr>
        <w:pStyle w:val="ListParagraph"/>
        <w:spacing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16"/>
          <w:szCs w:val="16"/>
          <w:lang w:val="el-GR"/>
        </w:rPr>
      </w:pPr>
    </w:p>
    <w:p w:rsidR="004B088B" w:rsidRPr="00F039AE" w:rsidRDefault="005A52D7" w:rsidP="00F039AE">
      <w:pPr>
        <w:pStyle w:val="ListParagraph"/>
        <w:numPr>
          <w:ilvl w:val="0"/>
          <w:numId w:val="1"/>
        </w:numPr>
        <w:spacing w:line="280" w:lineRule="exact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F039AE">
        <w:rPr>
          <w:rFonts w:asciiTheme="minorHAnsi" w:hAnsiTheme="minorHAnsi"/>
          <w:color w:val="auto"/>
          <w:sz w:val="22"/>
          <w:szCs w:val="22"/>
          <w:lang w:val="el-GR"/>
        </w:rPr>
        <w:t xml:space="preserve">Μόρφωση: </w:t>
      </w:r>
      <w:r w:rsidR="00F039AE" w:rsidRPr="00F039A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μ</w:t>
      </w:r>
      <w:r w:rsidR="00F039AE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ισοί 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περίπου </w:t>
      </w:r>
      <w:r w:rsidR="00F039AE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τους εγγεγραμμένους άνεργους είναι απόφοιτοι δευτεροβάθμιας γενικής ή τεχνικής εκπαίδευσης  με ποσοστό </w:t>
      </w:r>
      <w:r w:rsidR="0089420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51% ή 27,</w:t>
      </w:r>
      <w:r w:rsidR="00CF1C5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168</w:t>
      </w:r>
      <w:r w:rsidR="00F039AE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</w:t>
      </w:r>
      <w:r w:rsidR="003B69DB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ακολουθούν οι απόφοιτοι τριτοβάθμιας εκπαίδευσης με </w:t>
      </w:r>
      <w:r w:rsidR="00D933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26</w:t>
      </w:r>
      <w:r w:rsidR="003B69DB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ή 1</w:t>
      </w:r>
      <w:r w:rsidR="003B69D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89420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CF1C5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12</w:t>
      </w:r>
      <w:r w:rsidR="003B69DB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F039AE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2320C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B69DB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απόφοιτοι πρωτοβάθμιας εκπαίδευσης με 2</w:t>
      </w:r>
      <w:r w:rsidR="00D933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3B69DB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89420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CF1C5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2,039</w:t>
      </w:r>
      <w:r w:rsidR="003B69DB" w:rsidRPr="001D57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9919F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F039AE">
        <w:rPr>
          <w:rFonts w:asciiTheme="minorHAnsi" w:hAnsiTheme="minorHAnsi"/>
          <w:b w:val="0"/>
          <w:sz w:val="22"/>
          <w:szCs w:val="22"/>
          <w:lang w:val="el-GR"/>
        </w:rPr>
        <w:t>[βλέπε πίνακα 8].</w:t>
      </w:r>
    </w:p>
    <w:p w:rsidR="00F039AE" w:rsidRPr="00F039AE" w:rsidRDefault="00F039AE" w:rsidP="00F039AE">
      <w:pPr>
        <w:pStyle w:val="ListParagraph"/>
        <w:spacing w:line="280" w:lineRule="exact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5A52D7" w:rsidRDefault="005A52D7" w:rsidP="00337DED">
      <w:pPr>
        <w:pStyle w:val="Title"/>
        <w:spacing w:line="276" w:lineRule="auto"/>
        <w:ind w:left="72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552EEB">
        <w:rPr>
          <w:rFonts w:asciiTheme="minorHAnsi" w:hAnsiTheme="minorHAnsi"/>
          <w:b w:val="0"/>
          <w:color w:val="auto"/>
          <w:sz w:val="22"/>
          <w:szCs w:val="22"/>
        </w:rPr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9919F4" w:rsidRDefault="009919F4" w:rsidP="00337DED">
      <w:pPr>
        <w:pStyle w:val="Title"/>
        <w:spacing w:line="276" w:lineRule="auto"/>
        <w:ind w:left="72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CF1C52" w:rsidRPr="00F039AE" w:rsidRDefault="00CF1C52" w:rsidP="009919F4">
      <w:pPr>
        <w:pStyle w:val="Title"/>
        <w:spacing w:line="276" w:lineRule="auto"/>
        <w:ind w:left="720"/>
        <w:rPr>
          <w:rFonts w:asciiTheme="minorHAnsi" w:hAnsiTheme="minorHAnsi"/>
          <w:b w:val="0"/>
          <w:color w:val="auto"/>
          <w:sz w:val="22"/>
          <w:szCs w:val="22"/>
        </w:rPr>
      </w:pPr>
      <w:r w:rsidRPr="00CF1C52">
        <w:rPr>
          <w:rFonts w:asciiTheme="minorHAnsi" w:hAnsiTheme="minorHAnsi"/>
          <w:b w:val="0"/>
          <w:noProof/>
          <w:color w:val="auto"/>
          <w:sz w:val="22"/>
          <w:szCs w:val="22"/>
          <w:lang w:val="en-US"/>
        </w:rPr>
        <w:drawing>
          <wp:inline distT="0" distB="0" distL="0" distR="0">
            <wp:extent cx="4794250" cy="2809875"/>
            <wp:effectExtent l="19050" t="0" r="2540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1170" w:rsidRPr="00F039AE" w:rsidRDefault="00B41170" w:rsidP="00337DED">
      <w:pPr>
        <w:pStyle w:val="Title"/>
        <w:spacing w:line="276" w:lineRule="auto"/>
        <w:ind w:left="72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040819" w:rsidRPr="00552EEB" w:rsidRDefault="00040819" w:rsidP="00F04995">
      <w:pPr>
        <w:pStyle w:val="Title"/>
        <w:spacing w:line="276" w:lineRule="auto"/>
        <w:ind w:left="993"/>
        <w:rPr>
          <w:rFonts w:asciiTheme="minorHAnsi" w:hAnsiTheme="minorHAnsi"/>
          <w:b w:val="0"/>
          <w:color w:val="auto"/>
          <w:sz w:val="22"/>
          <w:szCs w:val="22"/>
        </w:rPr>
      </w:pPr>
    </w:p>
    <w:p w:rsidR="00B42762" w:rsidRPr="000107F7" w:rsidRDefault="00B42762" w:rsidP="003F6AB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107F7">
        <w:rPr>
          <w:rFonts w:asciiTheme="minorHAnsi" w:hAnsiTheme="minorHAnsi" w:cs="Arial"/>
          <w:color w:val="auto"/>
          <w:sz w:val="22"/>
          <w:szCs w:val="22"/>
          <w:lang w:val="el-GR"/>
        </w:rPr>
        <w:lastRenderedPageBreak/>
        <w:t>Εθν</w:t>
      </w:r>
      <w:r w:rsidR="007013FE" w:rsidRPr="000107F7">
        <w:rPr>
          <w:rFonts w:asciiTheme="minorHAnsi" w:hAnsiTheme="minorHAnsi" w:cs="Arial"/>
          <w:color w:val="auto"/>
          <w:sz w:val="22"/>
          <w:szCs w:val="22"/>
          <w:lang w:val="el-GR"/>
        </w:rPr>
        <w:t>οτική</w:t>
      </w:r>
      <w:r w:rsidRPr="000107F7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καταγωγή</w:t>
      </w: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: </w:t>
      </w:r>
      <w:r w:rsidR="00444EC3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το σύνολο των εγγεγραμμένων ανέργων </w:t>
      </w:r>
      <w:r w:rsidR="000B0889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="000B0889" w:rsidRPr="000107F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Κύπριοι</w:t>
      </w:r>
      <w:r w:rsidR="000B0889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αποτελούν το </w:t>
      </w:r>
      <w:r w:rsidR="00543BF8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1D799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0B0889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%, οι </w:t>
      </w:r>
      <w:r w:rsidR="000B0889" w:rsidRPr="000107F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="000B0889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="00543BF8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65246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0B0889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%,</w:t>
      </w:r>
      <w:r w:rsid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D7A67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="004D7A67" w:rsidRPr="000107F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Αλλοδαποί</w:t>
      </w:r>
      <w:r w:rsidR="004D7A67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το 3%</w:t>
      </w:r>
      <w:r w:rsid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</w:t>
      </w:r>
      <w:r w:rsidR="000B0889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Τουρκοκύπριοι το </w:t>
      </w:r>
      <w:r w:rsidR="000107F7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B0889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0107F7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94584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αυξ</w:t>
      </w:r>
      <w:r w:rsid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ήσεις </w:t>
      </w:r>
      <w:r w:rsidR="00F94584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που σημειώθηκαν στην εγγεγραμμένη ανεργία κατά εθνοτική καταγωγή είναι οι ακόλουθες:</w:t>
      </w:r>
    </w:p>
    <w:p w:rsidR="00B42762" w:rsidRDefault="00E443E6" w:rsidP="003F6AB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n-GB"/>
        </w:rPr>
        <w:t>o</w:t>
      </w:r>
      <w:r w:rsidR="00F94584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ι </w:t>
      </w:r>
      <w:r w:rsidR="00B42762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</w:t>
      </w:r>
      <w:r w:rsidR="00F94584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ύπριοι</w:t>
      </w:r>
      <w:r w:rsidR="00B42762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εγγεγραμμέν</w:t>
      </w:r>
      <w:r w:rsidR="00F94584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</w:t>
      </w:r>
      <w:r w:rsidR="002A1A59" w:rsidRPr="002A1A5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94584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άνεργοι </w:t>
      </w:r>
      <w:r w:rsidR="00B42762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αυξήθηκ</w:t>
      </w:r>
      <w:r w:rsidR="00F94584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B42762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602DD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B42762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8,138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B42762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</w:p>
    <w:p w:rsidR="004D7A67" w:rsidRPr="004D7A67" w:rsidRDefault="004D7A67" w:rsidP="004D7A6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αλλοδαποί αυξήθηκαν κατά</w:t>
      </w:r>
      <w:r w:rsidR="00602DD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13</w:t>
      </w: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(2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 άτομα)</w:t>
      </w: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</w:p>
    <w:p w:rsidR="004D7A67" w:rsidRPr="000107F7" w:rsidRDefault="00602DDA" w:rsidP="004D7A6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Πόντιοι αυξήθηκαν κατά 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4D7A67"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(1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27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</w:p>
    <w:p w:rsidR="004D7A67" w:rsidRPr="004D7A67" w:rsidRDefault="004D7A67" w:rsidP="004D7A67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ενώ μειώσεις </w:t>
      </w:r>
      <w:r w:rsidR="004A35F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παρατηρήθηκαν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</w:t>
      </w:r>
    </w:p>
    <w:p w:rsidR="00F04995" w:rsidRPr="00F446AD" w:rsidRDefault="00F04995" w:rsidP="00F446A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στους</w:t>
      </w:r>
      <w:r w:rsidRPr="005E11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Ευρωπαίο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υς πολίτες</w:t>
      </w:r>
      <w:r w:rsidRP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(890</w:t>
      </w:r>
      <w:r w:rsidRP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</w:p>
    <w:p w:rsidR="004D7A67" w:rsidRDefault="004D7A67" w:rsidP="004D7A6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με συμπληρωματική προστασία δεύτερου χρόνου κατά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66</w:t>
      </w: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146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Pr="000107F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</w:p>
    <w:p w:rsidR="00F04995" w:rsidRDefault="00F04995" w:rsidP="004D7A6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ανάμεσα στους Τουρκοκύπριους κατά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36</w:t>
      </w:r>
      <w:r w:rsidRP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(17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και</w:t>
      </w:r>
    </w:p>
    <w:p w:rsidR="00B42762" w:rsidRPr="00F04995" w:rsidRDefault="00182605" w:rsidP="00F04995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στους</w:t>
      </w:r>
      <w:r w:rsidR="004D7A67" w:rsidRP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αναγνωρισμένο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υς</w:t>
      </w:r>
      <w:r w:rsidR="004D7A67" w:rsidRP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πολιτικ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ούς</w:t>
      </w:r>
      <w:r w:rsidR="004D7A67" w:rsidRP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πρόσφυγες κατά 2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4D7A67" w:rsidRPr="004D7A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(3</w:t>
      </w:r>
      <w:r w:rsidR="00F446A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</w:t>
      </w:r>
      <w:r w:rsidR="00B42762" w:rsidRPr="00F04995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[</w:t>
      </w:r>
      <w:r w:rsidR="00443736" w:rsidRPr="00F04995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βλέπε πίνακα </w:t>
      </w:r>
      <w:r w:rsidR="005E02A2" w:rsidRPr="00F04995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B42762" w:rsidRPr="00F04995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]</w:t>
      </w:r>
      <w:r w:rsidR="00B42762" w:rsidRPr="00F0499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A92F09" w:rsidRPr="00552EEB" w:rsidRDefault="00A92F09" w:rsidP="00A92F0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A92F09" w:rsidRPr="00552EEB" w:rsidRDefault="00A92F09" w:rsidP="008F2A3E">
      <w:pPr>
        <w:pStyle w:val="ListParagraph"/>
        <w:spacing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</w:t>
      </w:r>
      <w:r w:rsidR="005E11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των Ελληνοκυπρίων, 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των </w:t>
      </w:r>
      <w:r w:rsidR="00A231CA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Ευρωπαίων 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</w:t>
      </w:r>
      <w:r w:rsidR="00A231CA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, των 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Ποντίων </w:t>
      </w:r>
      <w:r w:rsidR="00A231CA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ανέργων 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και των </w:t>
      </w:r>
      <w:r w:rsidR="00A231CA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ανέργων με καθεστώς 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συμπληρωματικής </w:t>
      </w:r>
      <w:r w:rsidR="00B84932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προστασίας</w:t>
      </w:r>
      <w:r w:rsidR="00663EEB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δεύτερου χρόνου</w:t>
      </w:r>
      <w:r w:rsidR="00B84932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12</w:t>
      </w:r>
      <w:r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B42762" w:rsidRPr="00F039AE" w:rsidRDefault="00B42762" w:rsidP="009461F1">
      <w:pPr>
        <w:pStyle w:val="ListParagraph"/>
        <w:spacing w:line="276" w:lineRule="auto"/>
        <w:ind w:left="0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1E6297" w:rsidRDefault="00CE0583" w:rsidP="003103B2">
      <w:pPr>
        <w:pStyle w:val="ListParagraph"/>
        <w:spacing w:line="276" w:lineRule="auto"/>
        <w:ind w:left="0"/>
        <w:jc w:val="right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CE0583">
        <w:rPr>
          <w:rFonts w:asciiTheme="minorHAnsi" w:hAnsiTheme="minorHAnsi" w:cs="Arial"/>
          <w:b w:val="0"/>
          <w:bCs w:val="0"/>
          <w:noProof/>
          <w:color w:val="auto"/>
          <w:sz w:val="22"/>
          <w:szCs w:val="22"/>
        </w:rPr>
        <w:drawing>
          <wp:inline distT="0" distB="0" distL="0" distR="0">
            <wp:extent cx="4933950" cy="2962275"/>
            <wp:effectExtent l="19050" t="0" r="1905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61F1" w:rsidRPr="001E6297" w:rsidRDefault="009461F1" w:rsidP="008F2A3E">
      <w:pPr>
        <w:pStyle w:val="ListParagraph"/>
        <w:spacing w:line="276" w:lineRule="auto"/>
        <w:ind w:left="0"/>
        <w:jc w:val="center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B42762" w:rsidRPr="00121EB2" w:rsidRDefault="00B42762" w:rsidP="00B3549E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121EB2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Μηνιαία σύγκριση</w:t>
      </w:r>
      <w:r w:rsidR="001A6B9C" w:rsidRPr="00121EB2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:</w:t>
      </w:r>
      <w:r w:rsidR="00845823" w:rsidRPr="00845823">
        <w:rPr>
          <w:rFonts w:asciiTheme="minorHAnsi" w:hAnsiTheme="minorHAnsi" w:cs="Arial"/>
          <w:color w:val="auto"/>
          <w:spacing w:val="4"/>
          <w:sz w:val="22"/>
          <w:szCs w:val="22"/>
          <w:lang w:val="el-GR"/>
        </w:rPr>
        <w:t xml:space="preserve"> </w:t>
      </w:r>
      <w:r w:rsidR="00172AD9"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Ιανουαρίου </w:t>
      </w:r>
      <w:r w:rsidR="00172AD9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και Φεβρουαρίου </w:t>
      </w:r>
      <w:r w:rsidR="00172AD9"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2014</w:t>
      </w:r>
    </w:p>
    <w:p w:rsidR="001A6B9C" w:rsidRPr="00552EEB" w:rsidRDefault="001A6B9C" w:rsidP="001A6B9C">
      <w:pPr>
        <w:spacing w:line="276" w:lineRule="auto"/>
        <w:ind w:left="792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</w:p>
    <w:p w:rsidR="00172AD9" w:rsidRPr="000B0E61" w:rsidRDefault="00172AD9" w:rsidP="00172AD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Κατά τον μήνα </w:t>
      </w:r>
      <w:r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Φεβρουάριο</w:t>
      </w: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2014 ο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 </w:t>
      </w:r>
      <w:r w:rsidRPr="000B0E61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αύξηση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0B0E61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421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0,8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%, σε σύγκριση με τον προηγού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172AD9" w:rsidRPr="000B0E61" w:rsidRDefault="00172AD9" w:rsidP="00172AD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τομέα </w:t>
      </w:r>
      <w:r w:rsidRPr="000B0E61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οικονομικής  δραστηριότητας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αυξήσεις παρατηρήθηκαν στον τομέα της δημόσιας διοίκησης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248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των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νεοεισερχ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ομένων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255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ενώ μειώσεις παρατηρήθηκαν στον τομέα κατασκευών (κατά 85 άτομα), στον τομέα τραπεζών (κατά 35 άτομα, στον τομέα των ξενοδοχείων (κατά 32 άτομα) και στον τομέα των υπηρεσιών (κατά 31 άτομα)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172AD9" w:rsidRPr="000B0E61" w:rsidRDefault="00172AD9" w:rsidP="00172A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Αύξηση της ανεργίας παρουσιάστηκε σε όλες τις </w:t>
      </w:r>
      <w:r w:rsidRPr="000B0E61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επαρχίες</w:t>
      </w:r>
      <w:r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</w:t>
      </w:r>
      <w:r w:rsidRPr="00FA5E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 εξαίρεση την Αμμόχωστο.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 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αύξηση καταγράφεται 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στην επαρχία</w:t>
      </w:r>
      <w:r w:rsidRPr="000B0E61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0B0E6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Λεμεσού </w:t>
      </w:r>
      <w:r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 193</w:t>
      </w:r>
      <w:r w:rsidRPr="000B0E6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ακολουθούν η  Λευκωσία με 113 άτομα, η Λάρνακα με 62 άτομα, η Πάφος με 61 άτομα, ενώ στην Αμμόχωστο μειώθηκε κατά 8 άτομα.</w:t>
      </w:r>
      <w:r w:rsidRPr="000B0E61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  <w:lang w:val="el-GR"/>
        </w:rPr>
        <w:t xml:space="preserve"> </w:t>
      </w:r>
    </w:p>
    <w:p w:rsidR="00B3549E" w:rsidRPr="006F206E" w:rsidRDefault="00B3549E" w:rsidP="006F206E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FF0000"/>
          <w:sz w:val="22"/>
          <w:szCs w:val="22"/>
          <w:lang w:val="el-GR"/>
        </w:rPr>
      </w:pPr>
    </w:p>
    <w:p w:rsidR="00B42762" w:rsidRPr="00552EEB" w:rsidRDefault="00B42762" w:rsidP="006E0ADA">
      <w:pPr>
        <w:pStyle w:val="ListParagraph"/>
        <w:spacing w:line="276" w:lineRule="auto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552EEB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ΑΝΑΛΥΣΗ ΣΤΟΙΧΕΙΩΝ ΑΠΟ ΑΛΛΕΣ ΠΗΓΕΣ</w:t>
      </w:r>
    </w:p>
    <w:p w:rsidR="00B42762" w:rsidRPr="00552EEB" w:rsidRDefault="00B42762" w:rsidP="003F6AB1">
      <w:pPr>
        <w:spacing w:line="276" w:lineRule="auto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</w:p>
    <w:p w:rsidR="00B42762" w:rsidRPr="00552EEB" w:rsidRDefault="00B42762" w:rsidP="00AB18F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>Μηνιαία Ανεργία Προσαρμοσμένη στις Εποχικές Διακυμάνσεις–</w:t>
      </w:r>
      <w:r w:rsidR="006112E5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B45E30">
        <w:rPr>
          <w:rFonts w:asciiTheme="minorHAnsi" w:hAnsiTheme="minorHAnsi" w:cs="Arial"/>
          <w:color w:val="auto"/>
          <w:sz w:val="22"/>
          <w:szCs w:val="22"/>
          <w:lang w:val="el-GR"/>
        </w:rPr>
        <w:t>Δεκέμβριο 2013</w:t>
      </w:r>
      <w:r w:rsidRPr="00552EEB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</w:rPr>
        <w:footnoteReference w:id="3"/>
      </w:r>
      <w:r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- </w:t>
      </w:r>
      <w:r w:rsidRPr="00552EEB">
        <w:rPr>
          <w:rFonts w:asciiTheme="minorHAnsi" w:hAnsiTheme="minorHAnsi" w:cs="Arial"/>
          <w:color w:val="auto"/>
          <w:sz w:val="22"/>
          <w:szCs w:val="22"/>
          <w:lang w:val="en-GB"/>
        </w:rPr>
        <w:t>EUROSTAT</w:t>
      </w:r>
      <w:r w:rsidR="006112E5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5E02A2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(βλέπε πίνακα 10</w:t>
      </w:r>
      <w:r w:rsidR="00AB18F9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</w:p>
    <w:p w:rsidR="00B42762" w:rsidRPr="00552EEB" w:rsidRDefault="00704426" w:rsidP="00704426">
      <w:pPr>
        <w:pStyle w:val="Title"/>
        <w:tabs>
          <w:tab w:val="left" w:pos="4203"/>
        </w:tabs>
        <w:spacing w:line="276" w:lineRule="auto"/>
        <w:ind w:left="720"/>
        <w:jc w:val="both"/>
        <w:rPr>
          <w:rFonts w:asciiTheme="minorHAnsi" w:hAnsiTheme="minorHAnsi"/>
          <w:i/>
          <w:iCs/>
          <w:color w:val="auto"/>
          <w:spacing w:val="4"/>
          <w:sz w:val="22"/>
          <w:szCs w:val="22"/>
        </w:rPr>
      </w:pPr>
      <w:r w:rsidRPr="00552EEB">
        <w:rPr>
          <w:rFonts w:asciiTheme="minorHAnsi" w:hAnsiTheme="minorHAnsi"/>
          <w:i/>
          <w:iCs/>
          <w:color w:val="auto"/>
          <w:spacing w:val="4"/>
          <w:sz w:val="22"/>
          <w:szCs w:val="22"/>
        </w:rPr>
        <w:tab/>
      </w:r>
    </w:p>
    <w:p w:rsidR="00B42762" w:rsidRPr="00552EEB" w:rsidRDefault="00B42762" w:rsidP="001F5CA1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  <w:r w:rsidRPr="00552E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Με βάση τα μηνιαία στοιχεία τα οποία είναι προσαρμοσμένα σε εποχικές διακυμάνσεις και υπολογίζονται από την Ευρωπαϊκή Στατιστική Υπηρεσία (EUROSTAT), η οποία λαμβάνει επίσης υπόψη τα στοιχεία της </w:t>
      </w:r>
      <w:r w:rsidR="00795395" w:rsidRPr="00552E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ΔΥΑ για την </w:t>
      </w:r>
      <w:r w:rsidRPr="00552E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εγγεγραμμένη ανεργία και τα αποτελέσματα της Έρευνας Εργατικού Δυναμικού (ΕΕΔ) της Στατιστικής Υπηρεσίας Κύπρου, εξάγονται τα ακόλουθα: </w:t>
      </w:r>
    </w:p>
    <w:p w:rsidR="00B42762" w:rsidRPr="00552EEB" w:rsidRDefault="00B42762" w:rsidP="001F5CA1">
      <w:pPr>
        <w:pStyle w:val="Title"/>
        <w:spacing w:line="276" w:lineRule="auto"/>
        <w:jc w:val="both"/>
        <w:rPr>
          <w:rFonts w:asciiTheme="minorHAnsi" w:hAnsiTheme="minorHAnsi"/>
          <w:b w:val="0"/>
          <w:bCs w:val="0"/>
          <w:color w:val="auto"/>
          <w:spacing w:val="4"/>
          <w:highlight w:val="yellow"/>
        </w:rPr>
      </w:pPr>
    </w:p>
    <w:p w:rsidR="00221A16" w:rsidRPr="00552EEB" w:rsidRDefault="00690677" w:rsidP="00BF2980">
      <w:pPr>
        <w:pStyle w:val="ListParagraph"/>
        <w:numPr>
          <w:ilvl w:val="0"/>
          <w:numId w:val="27"/>
        </w:numPr>
        <w:tabs>
          <w:tab w:val="left" w:pos="180"/>
        </w:tabs>
        <w:spacing w:after="24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</w:t>
      </w:r>
      <w:r w:rsidRPr="00DC072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ν </w:t>
      </w:r>
      <w:r w:rsidRPr="00DC072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μήνα </w:t>
      </w:r>
      <w:r w:rsid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Ιανουάριο</w:t>
      </w:r>
      <w:r w:rsidR="00D43F6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C072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 ανεργία ανήλθε στο 1</w:t>
      </w:r>
      <w:r w:rsid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6,8</w:t>
      </w:r>
      <w:r w:rsidR="002664C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και </w:t>
      </w:r>
      <w:r w:rsid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μειώθηκε</w:t>
      </w:r>
      <w:r w:rsidRPr="00DC072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σχ</w:t>
      </w:r>
      <w:r w:rsidR="008F3F6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έση με τον προηγούμενο μήνα</w:t>
      </w:r>
      <w:r w:rsid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0.4</w:t>
      </w:r>
      <w:r w:rsidR="002664C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ποσοστιαίες μονάδες</w:t>
      </w:r>
      <w:r w:rsidRPr="00DC072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Σε σχέση με τον ίδιο μήνα πέρσι η Κύπρος παρουσίασε την μεγαλύτερη αύξηση στην ανεργία ανάμεσα στα</w:t>
      </w:r>
      <w:r w:rsidR="00D43F6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F5D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Κράτη Μέλη της Ευρώπης (από 1</w:t>
      </w:r>
      <w:r w:rsid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4,4</w:t>
      </w:r>
      <w:r w:rsidRPr="00DC072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σε 1</w:t>
      </w:r>
      <w:r w:rsid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6,8</w:t>
      </w:r>
      <w:r w:rsidRPr="00DC072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%).</w:t>
      </w:r>
    </w:p>
    <w:p w:rsidR="00887B38" w:rsidRDefault="00887B38" w:rsidP="00887B3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Pr="00887B3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ανεργίας των ανδρών</w:t>
      </w: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το μήνα Ιανουάριο 2014 υπολογίζεται στο 17,4% παρουσιάζοντας μείωση κατά 0,8  ποσοστιαί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μονάδ</w:t>
      </w:r>
      <w:r w:rsidR="008423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από τον προηγούμενο μήνα, ενώ σε σχέση με τον ίδιο μήνα του προηγούμενου έτους παρουσίασε αύξηση κατά 2,8 ποσοστιαίες μονάδες. </w:t>
      </w:r>
    </w:p>
    <w:p w:rsidR="00887B38" w:rsidRPr="00887B38" w:rsidRDefault="00887B38" w:rsidP="00887B38">
      <w:pPr>
        <w:pStyle w:val="ListParagraph"/>
        <w:spacing w:line="276" w:lineRule="auto"/>
        <w:ind w:left="81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887B38" w:rsidRDefault="00887B38" w:rsidP="00887B3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887B3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γυναικών</w:t>
      </w: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το μήνα Ιανουάριο 2014 υπολογίζεται σε 16,1%, παραμένοντας το ίδιο σε σχέση με τον προηγούμενο μήνα ενώ συγκριτικά με τον ίδιο μήνα του προηγούμενου έτους παρουσίασε αύξηση κατά 2 ποσοστιαίες μονάδες.</w:t>
      </w:r>
    </w:p>
    <w:p w:rsidR="00887B38" w:rsidRPr="00887B38" w:rsidRDefault="00887B38" w:rsidP="00887B38">
      <w:pPr>
        <w:pStyle w:val="ListParagrap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887B38" w:rsidRPr="00887B38" w:rsidRDefault="00887B38" w:rsidP="00887B3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των </w:t>
      </w:r>
      <w:r w:rsidRPr="00887B3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νέων κάτω των 25 ετών</w:t>
      </w:r>
      <w:r w:rsidR="00842324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τον Δεκέμβριο του 2013</w:t>
      </w:r>
      <w:r w:rsidRPr="00887B3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βρίσκεται στο 40,8%</w:t>
      </w: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- δεν παρουσίασε καμία μεταβολή κατά τους τελευταίους 2 μήνες (Οκτώβριος-Νοέμβριος 2013), ενώ σε σχέση με το ίδιο μήνα πέρσι παρουσίασε αύξηση κατά 8,4 ποσοστιαίες μονάδες (από 32,4% σε 40,8%). [</w:t>
      </w:r>
      <w:r w:rsidRPr="00887B3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Τα στατιστικά στοιχεία ανεργίας των νέων για τον  Ιανουάριο 2014 δεν είναι ακόμη διαθέσιμα</w:t>
      </w:r>
      <w:r w:rsidRPr="00887B3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].</w:t>
      </w:r>
    </w:p>
    <w:p w:rsidR="00690677" w:rsidRPr="00690677" w:rsidRDefault="00690677" w:rsidP="00690677">
      <w:pPr>
        <w:spacing w:line="276" w:lineRule="auto"/>
        <w:ind w:left="450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B42762" w:rsidRPr="00552EEB" w:rsidRDefault="00B42762" w:rsidP="001B6F3B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>Απασχόληση και Ανεργία με βάση την Έρευνα Εργατικού Δυναμικού –</w:t>
      </w:r>
      <w:r w:rsidR="002716D6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Τρίτο </w:t>
      </w:r>
      <w:r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>τρίμηνο το</w:t>
      </w:r>
      <w:r w:rsidR="000D673E"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>υ 201</w:t>
      </w:r>
      <w:r w:rsidR="00FA3B94" w:rsidRPr="00552EEB">
        <w:rPr>
          <w:rFonts w:asciiTheme="minorHAnsi" w:hAnsiTheme="minorHAnsi" w:cs="Arial"/>
          <w:color w:val="auto"/>
          <w:sz w:val="22"/>
          <w:szCs w:val="22"/>
          <w:lang w:val="el-GR"/>
        </w:rPr>
        <w:t>3</w:t>
      </w:r>
      <w:r w:rsidR="002716D6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="00AB18F9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(βλέπε π</w:t>
      </w:r>
      <w:r w:rsidR="005E02A2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ίνακα 11</w:t>
      </w:r>
      <w:r w:rsidR="00AB18F9" w:rsidRPr="00552EE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</w:p>
    <w:p w:rsidR="00B42762" w:rsidRPr="00552EEB" w:rsidRDefault="00B42762" w:rsidP="001B6F3B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</w:p>
    <w:p w:rsidR="00A86719" w:rsidRPr="00CF25D6" w:rsidRDefault="00A86719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Με βάση τα αποτελέσματα της Έρευνας Εργατικού Δυναμικού, που διενεργείται από τη Στατιστική Υπηρεσία σύμφωνα με Ευρωπαϊκό Κανονισμό, το ποσοστό απασχόλησης</w:t>
      </w:r>
      <w:r w:rsidR="002716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6B4E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(20-64 ετών)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κατά το 1ο τρίμηνο του 2013 ήταν 67,4% μειωμένο κατά 2,9 ποσοστιαίες μονάδες από το αντίστοιχο τρίμηνο του 2012, ενώ το ποσοστό απασχόλησης του δεύτερου τριμήνου 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lastRenderedPageBreak/>
        <w:t xml:space="preserve">του 2013 ήταν 67,3% επίσης μειωμένο κατά 3,4 ποσοστιαίες μονάδες από το αντίστοιχο τρίμηνο του 2012. 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Το 3</w:t>
      </w:r>
      <w:r w:rsidR="005775EB" w:rsidRP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τρίμηνο του 2013 το ποσοστό απασχόλησης (20-64 ετών) είναι 66,9% μειωμένο κατά 0,5</w:t>
      </w:r>
      <w:r w:rsidR="005775EB" w:rsidRP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5775EB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ποσοστιαίες μονάδες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από το 1</w:t>
      </w:r>
      <w:r w:rsidR="005775EB" w:rsidRP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τρίμηνο και 0,4 </w:t>
      </w:r>
      <w:r w:rsidR="005775EB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ποσοστιαίες μονάδες 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από το δεύτερο τρίμηνο.</w:t>
      </w:r>
    </w:p>
    <w:p w:rsidR="00A86719" w:rsidRPr="00CF25D6" w:rsidRDefault="00A86719" w:rsidP="00CF25D6">
      <w:pPr>
        <w:pStyle w:val="Title"/>
        <w:spacing w:line="276" w:lineRule="auto"/>
        <w:ind w:left="360"/>
        <w:jc w:val="both"/>
        <w:rPr>
          <w:spacing w:val="4"/>
        </w:rPr>
      </w:pPr>
    </w:p>
    <w:p w:rsidR="00DA212F" w:rsidRPr="00CF25D6" w:rsidRDefault="00DA212F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Το ποσοστό ανεργίας στις </w:t>
      </w:r>
      <w:r w:rsidRPr="00214B1B">
        <w:rPr>
          <w:rFonts w:asciiTheme="minorHAnsi" w:hAnsiTheme="minorHAnsi"/>
          <w:bCs w:val="0"/>
          <w:color w:val="auto"/>
          <w:spacing w:val="4"/>
          <w:sz w:val="22"/>
          <w:szCs w:val="22"/>
        </w:rPr>
        <w:t>ηλικίες 15+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κατά το 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3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ο </w:t>
      </w:r>
      <w:r w:rsidR="00637C1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τρίμηνο του 2013 ανήλθε στο 16,2% (αύξηση 4,1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ποσ</w:t>
      </w:r>
      <w:r w:rsidR="00801BF9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  <w:lang w:val="en-US"/>
        </w:rPr>
        <w:t>o</w:t>
      </w:r>
      <w:r w:rsidR="00801BF9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σ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τιαίων μονάδων από το αντίστοιχο τρίμηνο του 2012), ενώ συγκρινόμενο με το πρώτο τρίμηνο του </w:t>
      </w:r>
      <w:r w:rsidR="00637C1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2013 παρουσιάστηκε οριακή αύξηση 0,3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ποσοστιαίων μονάδων. </w:t>
      </w:r>
    </w:p>
    <w:p w:rsidR="008E03DE" w:rsidRPr="00CF25D6" w:rsidRDefault="008E03DE" w:rsidP="00CF25D6">
      <w:pPr>
        <w:pStyle w:val="Title"/>
        <w:spacing w:line="276" w:lineRule="auto"/>
        <w:ind w:left="360"/>
        <w:jc w:val="both"/>
      </w:pPr>
    </w:p>
    <w:p w:rsidR="00B42762" w:rsidRPr="00CF25D6" w:rsidRDefault="00B42762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Το ποσοστ</w:t>
      </w:r>
      <w:r w:rsidR="006223D9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ό ανεργίας των </w:t>
      </w:r>
      <w:r w:rsidR="006223D9" w:rsidRPr="00214B1B">
        <w:rPr>
          <w:rFonts w:asciiTheme="minorHAnsi" w:hAnsiTheme="minorHAnsi"/>
          <w:bCs w:val="0"/>
          <w:color w:val="auto"/>
          <w:spacing w:val="4"/>
          <w:sz w:val="22"/>
          <w:szCs w:val="22"/>
        </w:rPr>
        <w:t>νέων 15-24 ετών</w:t>
      </w:r>
      <w:r w:rsidR="006223D9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έφτασε 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3</w:t>
      </w:r>
      <w:r w:rsidR="00637C16" w:rsidRPr="00637C1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τρίμηνο του 201</w:t>
      </w:r>
      <w:r w:rsidR="003239A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3</w:t>
      </w:r>
      <w:r w:rsidR="0037751F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στο </w:t>
      </w:r>
      <w:r w:rsidR="00672A0F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38,5</w:t>
      </w:r>
      <w:r w:rsidR="0037751F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%</w:t>
      </w:r>
      <w:r w:rsidR="006A6DA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,</w:t>
      </w:r>
      <w:r w:rsidR="00637C1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σημειώνοντας αύξηση</w:t>
      </w:r>
      <w:r w:rsidR="00FA0DA1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κατά </w:t>
      </w:r>
      <w:r w:rsidR="00637C1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12,1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AB5F5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ποσοστιαίες μονάδες</w:t>
      </w:r>
      <w:r w:rsidR="00FA0DA1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σε σύγκριση </w:t>
      </w:r>
      <w:r w:rsidR="001F7FBF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με το </w:t>
      </w:r>
      <w:r w:rsidR="00C06CDF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αντίστοιχο</w:t>
      </w:r>
      <w:r w:rsidR="00404A9F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τρίμηνο του 201</w:t>
      </w:r>
      <w:r w:rsidR="003239A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2</w:t>
      </w:r>
      <w:r w:rsidR="00672A0F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1F7FBF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, ενώ σε σχέση με το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ν μέσο όρο του 2012 παρουσιάστηκε </w:t>
      </w:r>
      <w:r w:rsidR="00740314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αύξηση</w:t>
      </w:r>
      <w:r w:rsidR="004136DA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κατά </w:t>
      </w:r>
      <w:r w:rsidR="00672A0F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10,7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AB5F5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ποσοστιαίες μονάδες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. </w:t>
      </w:r>
      <w:r w:rsidR="00F86034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Σημειώνεται ότι η ανεργία μεταξύ των νέων 15-24, ως ποσοστό του συνόλου του πληθυσμού της </w:t>
      </w:r>
      <w:r w:rsidR="00637C1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ίδιας ηλικιακής ομάδας ήταν 15</w:t>
      </w:r>
      <w:r w:rsidR="00F86034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%</w:t>
      </w:r>
      <w:r w:rsidR="00F10C3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, παρουσιάζοντας αύξηση 0,7 ποσοστιαίες μονάδες το 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σε σύγκριση με το προηγούμενο τρίμηνο και </w:t>
      </w:r>
      <w:r w:rsidR="00F86034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σημειώνοντας </w:t>
      </w:r>
      <w:r w:rsidR="00F10C3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αύξηση 4,2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</w:t>
      </w:r>
      <w:r w:rsidR="003F0EF7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ποσοστιαί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ων</w:t>
      </w:r>
      <w:r w:rsidR="003F0EF7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ων</w:t>
      </w:r>
      <w:r w:rsidR="00470F5C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σε σχέση</w:t>
      </w:r>
      <w:r w:rsidR="001618EF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με το </w:t>
      </w:r>
      <w:r w:rsidR="008F1086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μέσο όρο του 2012. </w:t>
      </w:r>
    </w:p>
    <w:p w:rsidR="00EC6C85" w:rsidRPr="00281AF7" w:rsidRDefault="00EC6C85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</w:p>
    <w:p w:rsidR="00EC6C85" w:rsidRPr="00CF25D6" w:rsidRDefault="00663EEB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="005775E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3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ο τρίμηνο του 201</w:t>
      </w:r>
      <w:r w:rsidR="002F12D1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3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, τ</w:t>
      </w:r>
      <w:r w:rsidR="00F86A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ο μερίδιο των ατόμων με </w:t>
      </w:r>
      <w:r w:rsidR="00EC6C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διάρκεια ανεργίας</w:t>
      </w:r>
      <w:r w:rsidR="00F86A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πάνω των 6 μηνών </w:t>
      </w:r>
      <w:r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στο σύνολο των ανέργων </w:t>
      </w:r>
      <w:r w:rsidR="00F86A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ανερχόταν στο </w:t>
      </w:r>
      <w:r w:rsidR="000F1077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60,3</w:t>
      </w:r>
      <w:r w:rsidR="00EC6C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%</w:t>
      </w:r>
      <w:r w:rsidR="000F1077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(παρουσιάζοντας αύξηση 0,1</w:t>
      </w:r>
      <w:r w:rsidR="00CA7A8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ποσοστιαίες μονάδες</w:t>
      </w:r>
      <w:r w:rsidR="000F1077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από το 2</w:t>
      </w:r>
      <w:r w:rsidR="000E2651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ο τρίμηνο)</w:t>
      </w:r>
      <w:r w:rsidR="00F86A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, ενώ το μερίδιο των ατόμων με διάρκεια ανεργίας άνω </w:t>
      </w:r>
      <w:r w:rsidR="004852C9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τ</w:t>
      </w:r>
      <w:r w:rsidR="00F86A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ων 12 μηνώ</w:t>
      </w:r>
      <w:r w:rsidR="008062D3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ν</w:t>
      </w:r>
      <w:r w:rsidR="000F1077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το 3</w:t>
      </w:r>
      <w:r w:rsidR="000E2651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ο τρίμηνο του 2013 </w:t>
      </w:r>
      <w:r w:rsidR="00F86A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ήταν </w:t>
      </w:r>
      <w:r w:rsidR="00FA55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3</w:t>
      </w:r>
      <w:r w:rsidR="000F1077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9,3</w:t>
      </w:r>
      <w:r w:rsidR="00F86A85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%</w:t>
      </w:r>
      <w:r w:rsidR="000F1077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(άνοδος 2</w:t>
      </w:r>
      <w:r w:rsidR="000E2651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,8</w:t>
      </w:r>
      <w:r w:rsidR="00CA7A8B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ποσοστιαίες μονάδες</w:t>
      </w:r>
      <w:r w:rsidR="000F1077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 xml:space="preserve"> από το 2</w:t>
      </w:r>
      <w:r w:rsidR="000E2651" w:rsidRPr="00CF25D6"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  <w:t>ο τρίμηνο του 2013).</w:t>
      </w:r>
    </w:p>
    <w:p w:rsidR="00F103CB" w:rsidRDefault="00F103CB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</w:p>
    <w:p w:rsidR="00BC0029" w:rsidRPr="00BC0029" w:rsidRDefault="00BC0029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</w:p>
    <w:p w:rsidR="00ED7450" w:rsidRPr="00CF25D6" w:rsidRDefault="00ED7450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 w:val="0"/>
          <w:bCs w:val="0"/>
          <w:color w:val="auto"/>
          <w:spacing w:val="4"/>
          <w:sz w:val="22"/>
          <w:szCs w:val="22"/>
        </w:rPr>
      </w:pPr>
    </w:p>
    <w:p w:rsidR="00B42762" w:rsidRPr="00CF25D6" w:rsidRDefault="002716D6" w:rsidP="00CF25D6">
      <w:pPr>
        <w:pStyle w:val="Title"/>
        <w:spacing w:line="276" w:lineRule="auto"/>
        <w:ind w:left="360"/>
        <w:jc w:val="both"/>
        <w:rPr>
          <w:rFonts w:asciiTheme="minorHAnsi" w:hAnsiTheme="minorHAnsi"/>
          <w:bCs w:val="0"/>
          <w:color w:val="auto"/>
          <w:spacing w:val="4"/>
          <w:sz w:val="22"/>
          <w:szCs w:val="22"/>
        </w:rPr>
      </w:pPr>
      <w:r>
        <w:rPr>
          <w:rFonts w:asciiTheme="minorHAnsi" w:hAnsiTheme="minorHAnsi"/>
          <w:bCs w:val="0"/>
          <w:color w:val="auto"/>
          <w:spacing w:val="4"/>
          <w:sz w:val="22"/>
          <w:szCs w:val="22"/>
        </w:rPr>
        <w:t>20 Μαρτίου</w:t>
      </w:r>
      <w:r w:rsidR="00037076">
        <w:rPr>
          <w:rFonts w:asciiTheme="minorHAnsi" w:hAnsiTheme="minorHAnsi"/>
          <w:bCs w:val="0"/>
          <w:color w:val="auto"/>
          <w:spacing w:val="4"/>
          <w:sz w:val="22"/>
          <w:szCs w:val="22"/>
        </w:rPr>
        <w:t xml:space="preserve"> 2014</w:t>
      </w:r>
      <w:r w:rsidR="00B42762"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ab/>
      </w:r>
      <w:r w:rsidR="00C174F0"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ab/>
      </w:r>
      <w:r w:rsidR="00C174F0"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ab/>
      </w:r>
      <w:r w:rsidR="006173FC"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ab/>
      </w:r>
      <w:r w:rsidR="006173FC"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ab/>
      </w:r>
      <w:r w:rsidR="00B42762"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 xml:space="preserve">Παρατηρητήριο </w:t>
      </w:r>
      <w:r w:rsidR="00972169"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>Αγοράς Εργασίας</w:t>
      </w:r>
    </w:p>
    <w:p w:rsidR="00ED7450" w:rsidRPr="00CF25D6" w:rsidRDefault="00B42762" w:rsidP="00F8405D">
      <w:pPr>
        <w:pStyle w:val="Title"/>
        <w:spacing w:line="276" w:lineRule="auto"/>
        <w:ind w:left="5400" w:firstLine="360"/>
        <w:rPr>
          <w:rFonts w:asciiTheme="minorHAnsi" w:hAnsiTheme="minorHAnsi"/>
          <w:bCs w:val="0"/>
          <w:color w:val="auto"/>
          <w:spacing w:val="4"/>
          <w:sz w:val="22"/>
          <w:szCs w:val="22"/>
        </w:rPr>
      </w:pPr>
      <w:r w:rsidRPr="00CF25D6">
        <w:rPr>
          <w:rFonts w:asciiTheme="minorHAnsi" w:hAnsiTheme="minorHAnsi"/>
          <w:bCs w:val="0"/>
          <w:color w:val="auto"/>
          <w:spacing w:val="4"/>
          <w:sz w:val="22"/>
          <w:szCs w:val="22"/>
        </w:rPr>
        <w:t>Τμήμα Εργασίας</w:t>
      </w:r>
    </w:p>
    <w:p w:rsidR="00ED7450" w:rsidRDefault="00ED7450" w:rsidP="002E6BEE">
      <w:pPr>
        <w:spacing w:line="276" w:lineRule="auto"/>
        <w:ind w:left="7200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2E6BEE">
      <w:pPr>
        <w:spacing w:line="276" w:lineRule="auto"/>
        <w:ind w:left="7200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2E6BEE">
      <w:pPr>
        <w:spacing w:line="276" w:lineRule="auto"/>
        <w:ind w:left="7200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2E6BEE">
      <w:pPr>
        <w:spacing w:line="276" w:lineRule="auto"/>
        <w:ind w:left="7200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ED7450">
      <w:pPr>
        <w:spacing w:line="276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ED7450">
      <w:pPr>
        <w:spacing w:line="276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ED7450">
      <w:pPr>
        <w:spacing w:line="276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ED7450">
      <w:pPr>
        <w:spacing w:line="276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ED7450">
      <w:pPr>
        <w:spacing w:line="276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ED7450">
      <w:pPr>
        <w:spacing w:line="276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ED7450" w:rsidRDefault="00ED7450" w:rsidP="00ED7450">
      <w:pPr>
        <w:spacing w:line="276" w:lineRule="auto"/>
        <w:contextualSpacing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</w:p>
    <w:p w:rsidR="005D036E" w:rsidRDefault="005D036E" w:rsidP="00ED7450">
      <w:pPr>
        <w:spacing w:line="276" w:lineRule="auto"/>
        <w:contextualSpacing/>
        <w:jc w:val="both"/>
        <w:rPr>
          <w:rFonts w:asciiTheme="minorHAnsi" w:hAnsiTheme="minorHAnsi" w:cs="Arial"/>
          <w:b w:val="0"/>
          <w:color w:val="auto"/>
          <w:sz w:val="18"/>
          <w:szCs w:val="18"/>
          <w:lang w:val="el-GR"/>
        </w:rPr>
      </w:pPr>
    </w:p>
    <w:p w:rsidR="00EA64C7" w:rsidRDefault="00EA64C7" w:rsidP="00ED7450">
      <w:pPr>
        <w:spacing w:line="276" w:lineRule="auto"/>
        <w:contextualSpacing/>
        <w:jc w:val="both"/>
        <w:rPr>
          <w:rFonts w:asciiTheme="minorHAnsi" w:hAnsiTheme="minorHAnsi" w:cs="Arial"/>
          <w:b w:val="0"/>
          <w:color w:val="auto"/>
          <w:sz w:val="18"/>
          <w:szCs w:val="18"/>
          <w:lang w:val="el-GR"/>
        </w:rPr>
      </w:pPr>
    </w:p>
    <w:p w:rsidR="00EA64C7" w:rsidRDefault="00EA64C7" w:rsidP="00ED7450">
      <w:pPr>
        <w:spacing w:line="276" w:lineRule="auto"/>
        <w:contextualSpacing/>
        <w:jc w:val="both"/>
        <w:rPr>
          <w:rFonts w:asciiTheme="minorHAnsi" w:hAnsiTheme="minorHAnsi" w:cs="Arial"/>
          <w:b w:val="0"/>
          <w:color w:val="auto"/>
          <w:sz w:val="18"/>
          <w:szCs w:val="18"/>
          <w:lang w:val="el-GR"/>
        </w:rPr>
      </w:pPr>
    </w:p>
    <w:p w:rsidR="00EA64C7" w:rsidRDefault="00EA64C7" w:rsidP="00ED7450">
      <w:pPr>
        <w:spacing w:line="276" w:lineRule="auto"/>
        <w:contextualSpacing/>
        <w:jc w:val="both"/>
        <w:rPr>
          <w:rFonts w:asciiTheme="minorHAnsi" w:hAnsiTheme="minorHAnsi" w:cs="Arial"/>
          <w:b w:val="0"/>
          <w:color w:val="auto"/>
          <w:sz w:val="18"/>
          <w:szCs w:val="18"/>
          <w:lang w:val="el-GR"/>
        </w:rPr>
      </w:pPr>
    </w:p>
    <w:p w:rsidR="00EA64C7" w:rsidRDefault="00EA64C7" w:rsidP="00ED7450">
      <w:pPr>
        <w:spacing w:line="276" w:lineRule="auto"/>
        <w:contextualSpacing/>
        <w:jc w:val="both"/>
        <w:rPr>
          <w:rFonts w:asciiTheme="minorHAnsi" w:hAnsiTheme="minorHAnsi" w:cs="Arial"/>
          <w:b w:val="0"/>
          <w:color w:val="auto"/>
          <w:sz w:val="18"/>
          <w:szCs w:val="18"/>
          <w:lang w:val="el-GR"/>
        </w:rPr>
      </w:pPr>
    </w:p>
    <w:p w:rsidR="00EA64C7" w:rsidRDefault="00EA64C7" w:rsidP="00ED7450">
      <w:pPr>
        <w:spacing w:line="276" w:lineRule="auto"/>
        <w:contextualSpacing/>
        <w:jc w:val="both"/>
        <w:rPr>
          <w:rFonts w:asciiTheme="minorHAnsi" w:hAnsiTheme="minorHAnsi" w:cs="Arial"/>
          <w:b w:val="0"/>
          <w:color w:val="auto"/>
          <w:sz w:val="18"/>
          <w:szCs w:val="18"/>
          <w:lang w:val="el-GR"/>
        </w:rPr>
      </w:pPr>
    </w:p>
    <w:p w:rsidR="00E1739D" w:rsidRPr="00ED7450" w:rsidRDefault="00593B13" w:rsidP="00ED7450">
      <w:pPr>
        <w:spacing w:line="276" w:lineRule="auto"/>
        <w:contextualSpacing/>
        <w:jc w:val="both"/>
        <w:rPr>
          <w:rFonts w:asciiTheme="minorHAnsi" w:hAnsiTheme="minorHAnsi" w:cs="Arial"/>
          <w:b w:val="0"/>
          <w:bCs w:val="0"/>
          <w:color w:val="auto"/>
          <w:sz w:val="18"/>
          <w:szCs w:val="18"/>
        </w:rPr>
      </w:pPr>
      <w:r>
        <w:rPr>
          <w:rFonts w:asciiTheme="minorHAnsi" w:hAnsiTheme="minorHAnsi" w:cs="Arial"/>
          <w:b w:val="0"/>
          <w:color w:val="auto"/>
          <w:sz w:val="18"/>
          <w:szCs w:val="18"/>
          <w:lang w:val="el-GR"/>
        </w:rPr>
        <w:t>ΜΡη</w:t>
      </w:r>
      <w:r w:rsidR="00ED7450" w:rsidRPr="00ED7450">
        <w:rPr>
          <w:rFonts w:asciiTheme="minorHAnsi" w:hAnsiTheme="minorHAnsi" w:cs="Arial"/>
          <w:b w:val="0"/>
          <w:color w:val="auto"/>
          <w:sz w:val="18"/>
          <w:szCs w:val="18"/>
        </w:rPr>
        <w:t>,</w:t>
      </w:r>
      <w:r w:rsidR="001D4D6E" w:rsidRPr="001D4D6E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fldSimple w:instr=" FILENAME  \p  \* MERGEFORMAT ">
        <w:r w:rsidR="001D4D6E" w:rsidRP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</w:rPr>
          <w:t>C:\Documents and Settings\MOF\My Documents\M Rigou\</w:t>
        </w:r>
        <w:r w:rsid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  <w:lang w:val="el-GR"/>
          </w:rPr>
          <w:t>Ανεργία</w:t>
        </w:r>
        <w:r w:rsidR="001D4D6E" w:rsidRP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</w:rPr>
          <w:t xml:space="preserve"> - </w:t>
        </w:r>
        <w:r w:rsid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  <w:lang w:val="el-GR"/>
          </w:rPr>
          <w:t>Μηνιαίες</w:t>
        </w:r>
        <w:r w:rsidR="001D4D6E" w:rsidRP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</w:rPr>
          <w:t xml:space="preserve"> </w:t>
        </w:r>
        <w:r w:rsid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  <w:lang w:val="el-GR"/>
          </w:rPr>
          <w:t>Εκθέσεις</w:t>
        </w:r>
        <w:r w:rsidR="001D4D6E" w:rsidRP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</w:rPr>
          <w:t>\2014 registered unemployed-monthly reports\February 2014\Reports\</w:t>
        </w:r>
        <w:r w:rsid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  <w:lang w:val="el-GR"/>
          </w:rPr>
          <w:t>Παράρτημα</w:t>
        </w:r>
        <w:r w:rsidR="001D4D6E" w:rsidRP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</w:rPr>
          <w:t xml:space="preserve"> </w:t>
        </w:r>
        <w:r w:rsid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  <w:lang w:val="el-GR"/>
          </w:rPr>
          <w:t>Ι</w:t>
        </w:r>
        <w:r w:rsidR="001D4D6E" w:rsidRPr="001D4D6E">
          <w:rPr>
            <w:rFonts w:asciiTheme="minorHAnsi" w:hAnsiTheme="minorHAnsi" w:cs="Arial"/>
            <w:b w:val="0"/>
            <w:noProof/>
            <w:color w:val="auto"/>
            <w:sz w:val="18"/>
            <w:szCs w:val="18"/>
          </w:rPr>
          <w:t xml:space="preserve"> Feb 2014.docx</w:t>
        </w:r>
      </w:fldSimple>
      <w:r w:rsidR="00B42762" w:rsidRPr="00ED7450">
        <w:rPr>
          <w:rFonts w:asciiTheme="minorHAnsi" w:hAnsiTheme="minorHAnsi" w:cs="Arial"/>
          <w:b w:val="0"/>
          <w:color w:val="auto"/>
          <w:sz w:val="18"/>
          <w:szCs w:val="18"/>
        </w:rPr>
        <w:tab/>
      </w:r>
    </w:p>
    <w:sectPr w:rsidR="00E1739D" w:rsidRPr="00ED7450" w:rsidSect="002B08DA">
      <w:footerReference w:type="default" r:id="rId16"/>
      <w:pgSz w:w="11907" w:h="16839" w:code="9"/>
      <w:pgMar w:top="1440" w:right="1559" w:bottom="1440" w:left="1080" w:header="706" w:footer="401" w:gutter="2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8B" w:rsidRDefault="005E508B">
      <w:r>
        <w:separator/>
      </w:r>
    </w:p>
  </w:endnote>
  <w:endnote w:type="continuationSeparator" w:id="1">
    <w:p w:rsidR="005E508B" w:rsidRDefault="005E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2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17C9" w:rsidRPr="00D86598" w:rsidRDefault="00BD4B3E">
        <w:pPr>
          <w:pStyle w:val="Footer"/>
          <w:jc w:val="right"/>
          <w:rPr>
            <w:sz w:val="20"/>
            <w:szCs w:val="20"/>
          </w:rPr>
        </w:pPr>
        <w:r w:rsidRPr="00D86598">
          <w:rPr>
            <w:sz w:val="20"/>
            <w:szCs w:val="20"/>
          </w:rPr>
          <w:fldChar w:fldCharType="begin"/>
        </w:r>
        <w:r w:rsidR="007617C9" w:rsidRPr="00D86598">
          <w:rPr>
            <w:sz w:val="20"/>
            <w:szCs w:val="20"/>
          </w:rPr>
          <w:instrText xml:space="preserve"> PAGE   \* MERGEFORMAT </w:instrText>
        </w:r>
        <w:r w:rsidRPr="00D86598">
          <w:rPr>
            <w:sz w:val="20"/>
            <w:szCs w:val="20"/>
          </w:rPr>
          <w:fldChar w:fldCharType="separate"/>
        </w:r>
        <w:r w:rsidR="00842324">
          <w:rPr>
            <w:noProof/>
            <w:sz w:val="20"/>
            <w:szCs w:val="20"/>
          </w:rPr>
          <w:t>7</w:t>
        </w:r>
        <w:r w:rsidRPr="00D86598">
          <w:rPr>
            <w:sz w:val="20"/>
            <w:szCs w:val="20"/>
          </w:rPr>
          <w:fldChar w:fldCharType="end"/>
        </w:r>
      </w:p>
    </w:sdtContent>
  </w:sdt>
  <w:p w:rsidR="00516979" w:rsidRDefault="00516979" w:rsidP="00E1739D">
    <w:pPr>
      <w:pStyle w:val="Footer"/>
      <w:ind w:right="360"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8B" w:rsidRDefault="005E508B">
      <w:r>
        <w:separator/>
      </w:r>
    </w:p>
  </w:footnote>
  <w:footnote w:type="continuationSeparator" w:id="1">
    <w:p w:rsidR="005E508B" w:rsidRDefault="005E508B">
      <w:r>
        <w:continuationSeparator/>
      </w:r>
    </w:p>
  </w:footnote>
  <w:footnote w:id="2">
    <w:p w:rsidR="00516979" w:rsidRPr="00792134" w:rsidRDefault="00516979" w:rsidP="003F6AB1">
      <w:pPr>
        <w:pStyle w:val="FootnoteText"/>
        <w:spacing w:before="80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ανεργίας. </w:t>
      </w:r>
    </w:p>
  </w:footnote>
  <w:footnote w:id="3">
    <w:p w:rsidR="00516979" w:rsidRPr="00792134" w:rsidRDefault="00516979" w:rsidP="003F6AB1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Τα στοιχεία της </w:t>
      </w:r>
      <w:r>
        <w:t>EUROSTAT</w:t>
      </w:r>
      <w:r>
        <w:rPr>
          <w:lang w:val="el-GR"/>
        </w:rPr>
        <w:t xml:space="preserve"> είναι διαθέσιμα με ένα μήνα καθυστέρηση.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2A0"/>
    <w:multiLevelType w:val="hybridMultilevel"/>
    <w:tmpl w:val="B270020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F1A07"/>
    <w:multiLevelType w:val="hybridMultilevel"/>
    <w:tmpl w:val="10306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4C3D1C"/>
    <w:multiLevelType w:val="hybridMultilevel"/>
    <w:tmpl w:val="243213C6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9"/>
  </w:num>
  <w:num w:numId="5">
    <w:abstractNumId w:val="0"/>
  </w:num>
  <w:num w:numId="6">
    <w:abstractNumId w:val="18"/>
  </w:num>
  <w:num w:numId="7">
    <w:abstractNumId w:val="26"/>
  </w:num>
  <w:num w:numId="8">
    <w:abstractNumId w:val="21"/>
  </w:num>
  <w:num w:numId="9">
    <w:abstractNumId w:val="9"/>
  </w:num>
  <w:num w:numId="10">
    <w:abstractNumId w:val="7"/>
  </w:num>
  <w:num w:numId="11">
    <w:abstractNumId w:val="2"/>
  </w:num>
  <w:num w:numId="12">
    <w:abstractNumId w:val="15"/>
  </w:num>
  <w:num w:numId="13">
    <w:abstractNumId w:val="25"/>
  </w:num>
  <w:num w:numId="14">
    <w:abstractNumId w:val="29"/>
  </w:num>
  <w:num w:numId="15">
    <w:abstractNumId w:val="22"/>
  </w:num>
  <w:num w:numId="16">
    <w:abstractNumId w:val="23"/>
  </w:num>
  <w:num w:numId="17">
    <w:abstractNumId w:val="20"/>
  </w:num>
  <w:num w:numId="18">
    <w:abstractNumId w:val="13"/>
  </w:num>
  <w:num w:numId="19">
    <w:abstractNumId w:val="4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8"/>
  </w:num>
  <w:num w:numId="25">
    <w:abstractNumId w:val="27"/>
  </w:num>
  <w:num w:numId="26">
    <w:abstractNumId w:val="3"/>
  </w:num>
  <w:num w:numId="27">
    <w:abstractNumId w:val="28"/>
  </w:num>
  <w:num w:numId="28">
    <w:abstractNumId w:val="16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2564"/>
    <w:rsid w:val="000002D8"/>
    <w:rsid w:val="000005C8"/>
    <w:rsid w:val="00000A51"/>
    <w:rsid w:val="00001AFF"/>
    <w:rsid w:val="00002B46"/>
    <w:rsid w:val="0000322F"/>
    <w:rsid w:val="000037F3"/>
    <w:rsid w:val="0000387B"/>
    <w:rsid w:val="000056E2"/>
    <w:rsid w:val="00005BCF"/>
    <w:rsid w:val="000062B7"/>
    <w:rsid w:val="000064B5"/>
    <w:rsid w:val="00006BCD"/>
    <w:rsid w:val="000071D9"/>
    <w:rsid w:val="00007776"/>
    <w:rsid w:val="000107F7"/>
    <w:rsid w:val="0001206A"/>
    <w:rsid w:val="00012FCE"/>
    <w:rsid w:val="000130E8"/>
    <w:rsid w:val="0001395E"/>
    <w:rsid w:val="00013E64"/>
    <w:rsid w:val="000143F8"/>
    <w:rsid w:val="00015215"/>
    <w:rsid w:val="000153DC"/>
    <w:rsid w:val="00015698"/>
    <w:rsid w:val="0001621A"/>
    <w:rsid w:val="000164C0"/>
    <w:rsid w:val="000168FD"/>
    <w:rsid w:val="0001751A"/>
    <w:rsid w:val="00020227"/>
    <w:rsid w:val="000203D1"/>
    <w:rsid w:val="00020505"/>
    <w:rsid w:val="000205AE"/>
    <w:rsid w:val="000218C2"/>
    <w:rsid w:val="00021C0C"/>
    <w:rsid w:val="00022911"/>
    <w:rsid w:val="000238A7"/>
    <w:rsid w:val="00023A58"/>
    <w:rsid w:val="00024297"/>
    <w:rsid w:val="00024BEE"/>
    <w:rsid w:val="00024FDB"/>
    <w:rsid w:val="00025C09"/>
    <w:rsid w:val="00025C9F"/>
    <w:rsid w:val="00026774"/>
    <w:rsid w:val="00027651"/>
    <w:rsid w:val="00030A73"/>
    <w:rsid w:val="00030C63"/>
    <w:rsid w:val="00030F6E"/>
    <w:rsid w:val="00031900"/>
    <w:rsid w:val="00033271"/>
    <w:rsid w:val="00033B05"/>
    <w:rsid w:val="0003432D"/>
    <w:rsid w:val="00034711"/>
    <w:rsid w:val="00034826"/>
    <w:rsid w:val="00034C70"/>
    <w:rsid w:val="00035661"/>
    <w:rsid w:val="00036659"/>
    <w:rsid w:val="00037076"/>
    <w:rsid w:val="00037B02"/>
    <w:rsid w:val="00037B69"/>
    <w:rsid w:val="00040382"/>
    <w:rsid w:val="00040819"/>
    <w:rsid w:val="00040C24"/>
    <w:rsid w:val="00042624"/>
    <w:rsid w:val="00042734"/>
    <w:rsid w:val="000428F4"/>
    <w:rsid w:val="00043E74"/>
    <w:rsid w:val="00045B48"/>
    <w:rsid w:val="000465C0"/>
    <w:rsid w:val="000467D9"/>
    <w:rsid w:val="00047258"/>
    <w:rsid w:val="000476AA"/>
    <w:rsid w:val="000477A2"/>
    <w:rsid w:val="00050179"/>
    <w:rsid w:val="00050785"/>
    <w:rsid w:val="00051E9D"/>
    <w:rsid w:val="00054252"/>
    <w:rsid w:val="0005513D"/>
    <w:rsid w:val="0005582E"/>
    <w:rsid w:val="00055BB7"/>
    <w:rsid w:val="0005612F"/>
    <w:rsid w:val="000574CE"/>
    <w:rsid w:val="000578CE"/>
    <w:rsid w:val="000603FD"/>
    <w:rsid w:val="00061E5D"/>
    <w:rsid w:val="000629AF"/>
    <w:rsid w:val="00062D35"/>
    <w:rsid w:val="00062DAE"/>
    <w:rsid w:val="0006392C"/>
    <w:rsid w:val="00063AA3"/>
    <w:rsid w:val="000651A0"/>
    <w:rsid w:val="00065A8D"/>
    <w:rsid w:val="00065D44"/>
    <w:rsid w:val="000666EB"/>
    <w:rsid w:val="00066E25"/>
    <w:rsid w:val="00067B12"/>
    <w:rsid w:val="00070D1F"/>
    <w:rsid w:val="000719C5"/>
    <w:rsid w:val="00071D2E"/>
    <w:rsid w:val="00072614"/>
    <w:rsid w:val="00072638"/>
    <w:rsid w:val="000745AB"/>
    <w:rsid w:val="00074D17"/>
    <w:rsid w:val="000774CB"/>
    <w:rsid w:val="0007755D"/>
    <w:rsid w:val="000777D8"/>
    <w:rsid w:val="00077A8E"/>
    <w:rsid w:val="00080002"/>
    <w:rsid w:val="00080AEF"/>
    <w:rsid w:val="0008153D"/>
    <w:rsid w:val="000826BC"/>
    <w:rsid w:val="0008290B"/>
    <w:rsid w:val="00082AF4"/>
    <w:rsid w:val="00082EEA"/>
    <w:rsid w:val="00083079"/>
    <w:rsid w:val="00083252"/>
    <w:rsid w:val="00084745"/>
    <w:rsid w:val="00084790"/>
    <w:rsid w:val="0008485C"/>
    <w:rsid w:val="00085DAD"/>
    <w:rsid w:val="00087DA7"/>
    <w:rsid w:val="0009228E"/>
    <w:rsid w:val="000923B3"/>
    <w:rsid w:val="00092F6F"/>
    <w:rsid w:val="000938CC"/>
    <w:rsid w:val="00093C1F"/>
    <w:rsid w:val="000953A7"/>
    <w:rsid w:val="00096423"/>
    <w:rsid w:val="00096956"/>
    <w:rsid w:val="00097859"/>
    <w:rsid w:val="000A05B4"/>
    <w:rsid w:val="000A0781"/>
    <w:rsid w:val="000A1651"/>
    <w:rsid w:val="000A2094"/>
    <w:rsid w:val="000A291E"/>
    <w:rsid w:val="000A2D09"/>
    <w:rsid w:val="000A2E8B"/>
    <w:rsid w:val="000A4931"/>
    <w:rsid w:val="000A4D04"/>
    <w:rsid w:val="000A5A65"/>
    <w:rsid w:val="000A6573"/>
    <w:rsid w:val="000A7B48"/>
    <w:rsid w:val="000A7C4C"/>
    <w:rsid w:val="000B0889"/>
    <w:rsid w:val="000B0E81"/>
    <w:rsid w:val="000B1863"/>
    <w:rsid w:val="000B1FDB"/>
    <w:rsid w:val="000B2086"/>
    <w:rsid w:val="000B20E8"/>
    <w:rsid w:val="000B2917"/>
    <w:rsid w:val="000B37C1"/>
    <w:rsid w:val="000B404F"/>
    <w:rsid w:val="000B4BAA"/>
    <w:rsid w:val="000B5586"/>
    <w:rsid w:val="000B668A"/>
    <w:rsid w:val="000C043C"/>
    <w:rsid w:val="000C0F49"/>
    <w:rsid w:val="000C10C1"/>
    <w:rsid w:val="000C2635"/>
    <w:rsid w:val="000C2825"/>
    <w:rsid w:val="000C2A94"/>
    <w:rsid w:val="000C33B6"/>
    <w:rsid w:val="000C3535"/>
    <w:rsid w:val="000C5052"/>
    <w:rsid w:val="000C5910"/>
    <w:rsid w:val="000C5AAD"/>
    <w:rsid w:val="000C6D84"/>
    <w:rsid w:val="000C7289"/>
    <w:rsid w:val="000D0688"/>
    <w:rsid w:val="000D06F8"/>
    <w:rsid w:val="000D0F80"/>
    <w:rsid w:val="000D1208"/>
    <w:rsid w:val="000D20A5"/>
    <w:rsid w:val="000D2B22"/>
    <w:rsid w:val="000D3183"/>
    <w:rsid w:val="000D3C86"/>
    <w:rsid w:val="000D3D6E"/>
    <w:rsid w:val="000D52F4"/>
    <w:rsid w:val="000D5305"/>
    <w:rsid w:val="000D583B"/>
    <w:rsid w:val="000D5D3C"/>
    <w:rsid w:val="000D5D46"/>
    <w:rsid w:val="000D633B"/>
    <w:rsid w:val="000D673E"/>
    <w:rsid w:val="000E2651"/>
    <w:rsid w:val="000E2916"/>
    <w:rsid w:val="000E33AA"/>
    <w:rsid w:val="000E412C"/>
    <w:rsid w:val="000E512C"/>
    <w:rsid w:val="000E5550"/>
    <w:rsid w:val="000E57D4"/>
    <w:rsid w:val="000E7DAE"/>
    <w:rsid w:val="000E7E00"/>
    <w:rsid w:val="000F045F"/>
    <w:rsid w:val="000F0659"/>
    <w:rsid w:val="000F0BD3"/>
    <w:rsid w:val="000F0DD9"/>
    <w:rsid w:val="000F1077"/>
    <w:rsid w:val="000F3F9F"/>
    <w:rsid w:val="000F44AC"/>
    <w:rsid w:val="000F5AE3"/>
    <w:rsid w:val="000F6B14"/>
    <w:rsid w:val="000F7B9D"/>
    <w:rsid w:val="00100222"/>
    <w:rsid w:val="00100909"/>
    <w:rsid w:val="00103665"/>
    <w:rsid w:val="00103986"/>
    <w:rsid w:val="00103EFA"/>
    <w:rsid w:val="00104B4D"/>
    <w:rsid w:val="00104D27"/>
    <w:rsid w:val="00104D5D"/>
    <w:rsid w:val="00106B14"/>
    <w:rsid w:val="00107135"/>
    <w:rsid w:val="001075D1"/>
    <w:rsid w:val="001105BB"/>
    <w:rsid w:val="00110CFB"/>
    <w:rsid w:val="00111830"/>
    <w:rsid w:val="00112178"/>
    <w:rsid w:val="001122EF"/>
    <w:rsid w:val="00112E13"/>
    <w:rsid w:val="0011375F"/>
    <w:rsid w:val="00113F6D"/>
    <w:rsid w:val="00116371"/>
    <w:rsid w:val="00116DF4"/>
    <w:rsid w:val="001172B1"/>
    <w:rsid w:val="001178CE"/>
    <w:rsid w:val="00120478"/>
    <w:rsid w:val="001204E7"/>
    <w:rsid w:val="0012094F"/>
    <w:rsid w:val="00120F8A"/>
    <w:rsid w:val="0012171C"/>
    <w:rsid w:val="00121C5D"/>
    <w:rsid w:val="00121D98"/>
    <w:rsid w:val="00121EB2"/>
    <w:rsid w:val="0012459E"/>
    <w:rsid w:val="0012487B"/>
    <w:rsid w:val="0012495A"/>
    <w:rsid w:val="00124A37"/>
    <w:rsid w:val="00124D41"/>
    <w:rsid w:val="0012633F"/>
    <w:rsid w:val="00127D29"/>
    <w:rsid w:val="00127E2F"/>
    <w:rsid w:val="00130AB3"/>
    <w:rsid w:val="001312B7"/>
    <w:rsid w:val="00131EB1"/>
    <w:rsid w:val="00133FC8"/>
    <w:rsid w:val="00134539"/>
    <w:rsid w:val="00134EFA"/>
    <w:rsid w:val="00136321"/>
    <w:rsid w:val="0013688B"/>
    <w:rsid w:val="001373E7"/>
    <w:rsid w:val="0014034F"/>
    <w:rsid w:val="0014059F"/>
    <w:rsid w:val="00140AE1"/>
    <w:rsid w:val="00140D33"/>
    <w:rsid w:val="00140EAA"/>
    <w:rsid w:val="00142377"/>
    <w:rsid w:val="00142DD8"/>
    <w:rsid w:val="00143530"/>
    <w:rsid w:val="00144307"/>
    <w:rsid w:val="00144390"/>
    <w:rsid w:val="0014593C"/>
    <w:rsid w:val="001464FA"/>
    <w:rsid w:val="00146B9F"/>
    <w:rsid w:val="00146F69"/>
    <w:rsid w:val="001479FA"/>
    <w:rsid w:val="00150015"/>
    <w:rsid w:val="001505B0"/>
    <w:rsid w:val="00150777"/>
    <w:rsid w:val="00150830"/>
    <w:rsid w:val="00150847"/>
    <w:rsid w:val="001512BD"/>
    <w:rsid w:val="00151452"/>
    <w:rsid w:val="00151D54"/>
    <w:rsid w:val="00151FBA"/>
    <w:rsid w:val="00152DC3"/>
    <w:rsid w:val="00153082"/>
    <w:rsid w:val="0015328D"/>
    <w:rsid w:val="001535F3"/>
    <w:rsid w:val="00153747"/>
    <w:rsid w:val="00155C1D"/>
    <w:rsid w:val="00156447"/>
    <w:rsid w:val="001565D8"/>
    <w:rsid w:val="00157A11"/>
    <w:rsid w:val="001617B4"/>
    <w:rsid w:val="001618EF"/>
    <w:rsid w:val="0016230C"/>
    <w:rsid w:val="001627CC"/>
    <w:rsid w:val="00162F92"/>
    <w:rsid w:val="00163063"/>
    <w:rsid w:val="00165114"/>
    <w:rsid w:val="001654A6"/>
    <w:rsid w:val="00165A47"/>
    <w:rsid w:val="00165C66"/>
    <w:rsid w:val="00165CCD"/>
    <w:rsid w:val="0016706E"/>
    <w:rsid w:val="00170496"/>
    <w:rsid w:val="00170E92"/>
    <w:rsid w:val="00172613"/>
    <w:rsid w:val="001726D7"/>
    <w:rsid w:val="00172AAD"/>
    <w:rsid w:val="00172AD9"/>
    <w:rsid w:val="00173AA8"/>
    <w:rsid w:val="00173E45"/>
    <w:rsid w:val="00174017"/>
    <w:rsid w:val="00174269"/>
    <w:rsid w:val="00174487"/>
    <w:rsid w:val="00174E01"/>
    <w:rsid w:val="001756BB"/>
    <w:rsid w:val="001763F9"/>
    <w:rsid w:val="001801BF"/>
    <w:rsid w:val="00180A13"/>
    <w:rsid w:val="00181037"/>
    <w:rsid w:val="00182605"/>
    <w:rsid w:val="001835CC"/>
    <w:rsid w:val="00183611"/>
    <w:rsid w:val="0018445A"/>
    <w:rsid w:val="00184589"/>
    <w:rsid w:val="001863C5"/>
    <w:rsid w:val="0018767C"/>
    <w:rsid w:val="00187C8D"/>
    <w:rsid w:val="00190338"/>
    <w:rsid w:val="001905AF"/>
    <w:rsid w:val="00192058"/>
    <w:rsid w:val="0019214B"/>
    <w:rsid w:val="0019270B"/>
    <w:rsid w:val="00192EBF"/>
    <w:rsid w:val="0019316C"/>
    <w:rsid w:val="001939C3"/>
    <w:rsid w:val="00193BD5"/>
    <w:rsid w:val="00194CC9"/>
    <w:rsid w:val="00194E15"/>
    <w:rsid w:val="00194F2D"/>
    <w:rsid w:val="001957CD"/>
    <w:rsid w:val="00195B3C"/>
    <w:rsid w:val="00195F51"/>
    <w:rsid w:val="00196E1B"/>
    <w:rsid w:val="0019710C"/>
    <w:rsid w:val="00197755"/>
    <w:rsid w:val="00197A9B"/>
    <w:rsid w:val="00197A9D"/>
    <w:rsid w:val="001A021A"/>
    <w:rsid w:val="001A2B36"/>
    <w:rsid w:val="001A3611"/>
    <w:rsid w:val="001A4502"/>
    <w:rsid w:val="001A5CCF"/>
    <w:rsid w:val="001A5ECC"/>
    <w:rsid w:val="001A6B9C"/>
    <w:rsid w:val="001A76BF"/>
    <w:rsid w:val="001B0834"/>
    <w:rsid w:val="001B0E0F"/>
    <w:rsid w:val="001B1064"/>
    <w:rsid w:val="001B1468"/>
    <w:rsid w:val="001B2E87"/>
    <w:rsid w:val="001B30C2"/>
    <w:rsid w:val="001B3FB6"/>
    <w:rsid w:val="001B4D04"/>
    <w:rsid w:val="001B4FB7"/>
    <w:rsid w:val="001B566C"/>
    <w:rsid w:val="001B5B34"/>
    <w:rsid w:val="001B6F3B"/>
    <w:rsid w:val="001B7B3B"/>
    <w:rsid w:val="001C04EF"/>
    <w:rsid w:val="001C0746"/>
    <w:rsid w:val="001C091D"/>
    <w:rsid w:val="001C0B2F"/>
    <w:rsid w:val="001C10E8"/>
    <w:rsid w:val="001C1ACF"/>
    <w:rsid w:val="001C1CD2"/>
    <w:rsid w:val="001C1F60"/>
    <w:rsid w:val="001C2616"/>
    <w:rsid w:val="001C37BC"/>
    <w:rsid w:val="001C41EE"/>
    <w:rsid w:val="001C47D7"/>
    <w:rsid w:val="001C4DE2"/>
    <w:rsid w:val="001C64A9"/>
    <w:rsid w:val="001C66D0"/>
    <w:rsid w:val="001C6BBE"/>
    <w:rsid w:val="001C748E"/>
    <w:rsid w:val="001C7C24"/>
    <w:rsid w:val="001C7EF2"/>
    <w:rsid w:val="001D1E49"/>
    <w:rsid w:val="001D1E8D"/>
    <w:rsid w:val="001D1FBB"/>
    <w:rsid w:val="001D29E2"/>
    <w:rsid w:val="001D3B11"/>
    <w:rsid w:val="001D41F2"/>
    <w:rsid w:val="001D4D6E"/>
    <w:rsid w:val="001D6612"/>
    <w:rsid w:val="001D73FC"/>
    <w:rsid w:val="001D7999"/>
    <w:rsid w:val="001E070F"/>
    <w:rsid w:val="001E0D33"/>
    <w:rsid w:val="001E1D6D"/>
    <w:rsid w:val="001E27A3"/>
    <w:rsid w:val="001E2D4D"/>
    <w:rsid w:val="001E31F6"/>
    <w:rsid w:val="001E39F7"/>
    <w:rsid w:val="001E487A"/>
    <w:rsid w:val="001E4BF2"/>
    <w:rsid w:val="001E4C34"/>
    <w:rsid w:val="001E58AF"/>
    <w:rsid w:val="001E5924"/>
    <w:rsid w:val="001E6297"/>
    <w:rsid w:val="001E6A78"/>
    <w:rsid w:val="001E7855"/>
    <w:rsid w:val="001F0435"/>
    <w:rsid w:val="001F0DCB"/>
    <w:rsid w:val="001F2EE6"/>
    <w:rsid w:val="001F2F12"/>
    <w:rsid w:val="001F38C3"/>
    <w:rsid w:val="001F397D"/>
    <w:rsid w:val="001F46FB"/>
    <w:rsid w:val="001F487F"/>
    <w:rsid w:val="001F4E3F"/>
    <w:rsid w:val="001F52BB"/>
    <w:rsid w:val="001F53A5"/>
    <w:rsid w:val="001F5CA1"/>
    <w:rsid w:val="001F72E9"/>
    <w:rsid w:val="001F7FBF"/>
    <w:rsid w:val="00200084"/>
    <w:rsid w:val="00200B06"/>
    <w:rsid w:val="0020281C"/>
    <w:rsid w:val="00202EE4"/>
    <w:rsid w:val="00202F8F"/>
    <w:rsid w:val="002038B7"/>
    <w:rsid w:val="002039A1"/>
    <w:rsid w:val="0020430D"/>
    <w:rsid w:val="002047D4"/>
    <w:rsid w:val="0020616D"/>
    <w:rsid w:val="00206D0A"/>
    <w:rsid w:val="0020740B"/>
    <w:rsid w:val="00210555"/>
    <w:rsid w:val="002107F6"/>
    <w:rsid w:val="002110C0"/>
    <w:rsid w:val="0021115E"/>
    <w:rsid w:val="00213E4B"/>
    <w:rsid w:val="00213EF1"/>
    <w:rsid w:val="00214027"/>
    <w:rsid w:val="0021413A"/>
    <w:rsid w:val="00214497"/>
    <w:rsid w:val="00214B1B"/>
    <w:rsid w:val="0021500D"/>
    <w:rsid w:val="00215AFE"/>
    <w:rsid w:val="00215DCD"/>
    <w:rsid w:val="00216066"/>
    <w:rsid w:val="00216549"/>
    <w:rsid w:val="00216B6E"/>
    <w:rsid w:val="00216DD1"/>
    <w:rsid w:val="002170C8"/>
    <w:rsid w:val="002177E3"/>
    <w:rsid w:val="002178B9"/>
    <w:rsid w:val="00217DA4"/>
    <w:rsid w:val="00220813"/>
    <w:rsid w:val="00221312"/>
    <w:rsid w:val="00221A16"/>
    <w:rsid w:val="00222038"/>
    <w:rsid w:val="002232F7"/>
    <w:rsid w:val="00223AC1"/>
    <w:rsid w:val="00223B8F"/>
    <w:rsid w:val="00223D74"/>
    <w:rsid w:val="00224394"/>
    <w:rsid w:val="00224F33"/>
    <w:rsid w:val="00230527"/>
    <w:rsid w:val="00231D14"/>
    <w:rsid w:val="00231E5B"/>
    <w:rsid w:val="002320CD"/>
    <w:rsid w:val="002324EE"/>
    <w:rsid w:val="00233EA1"/>
    <w:rsid w:val="00234238"/>
    <w:rsid w:val="002370F4"/>
    <w:rsid w:val="00237C8B"/>
    <w:rsid w:val="0024009D"/>
    <w:rsid w:val="00241109"/>
    <w:rsid w:val="00243B56"/>
    <w:rsid w:val="00244EE9"/>
    <w:rsid w:val="00245063"/>
    <w:rsid w:val="0024507F"/>
    <w:rsid w:val="00245A6B"/>
    <w:rsid w:val="00245CD5"/>
    <w:rsid w:val="00246135"/>
    <w:rsid w:val="00246858"/>
    <w:rsid w:val="00247057"/>
    <w:rsid w:val="00247D94"/>
    <w:rsid w:val="00247FD6"/>
    <w:rsid w:val="00250C7F"/>
    <w:rsid w:val="00251528"/>
    <w:rsid w:val="00251B7B"/>
    <w:rsid w:val="00251F45"/>
    <w:rsid w:val="00253E60"/>
    <w:rsid w:val="0025400E"/>
    <w:rsid w:val="0025408C"/>
    <w:rsid w:val="00254A94"/>
    <w:rsid w:val="00260D73"/>
    <w:rsid w:val="0026164C"/>
    <w:rsid w:val="00261A0A"/>
    <w:rsid w:val="00262438"/>
    <w:rsid w:val="0026340A"/>
    <w:rsid w:val="00263593"/>
    <w:rsid w:val="002664CC"/>
    <w:rsid w:val="00266527"/>
    <w:rsid w:val="00266574"/>
    <w:rsid w:val="00266624"/>
    <w:rsid w:val="00266859"/>
    <w:rsid w:val="002678EA"/>
    <w:rsid w:val="00267B2C"/>
    <w:rsid w:val="002701CC"/>
    <w:rsid w:val="002703D3"/>
    <w:rsid w:val="002716D6"/>
    <w:rsid w:val="00271712"/>
    <w:rsid w:val="00272092"/>
    <w:rsid w:val="002729D6"/>
    <w:rsid w:val="00272D90"/>
    <w:rsid w:val="002745CC"/>
    <w:rsid w:val="00274BE4"/>
    <w:rsid w:val="00274CB8"/>
    <w:rsid w:val="00274D2F"/>
    <w:rsid w:val="00275730"/>
    <w:rsid w:val="00276064"/>
    <w:rsid w:val="00276660"/>
    <w:rsid w:val="00276DE9"/>
    <w:rsid w:val="00276F7F"/>
    <w:rsid w:val="00277409"/>
    <w:rsid w:val="00277783"/>
    <w:rsid w:val="002806DD"/>
    <w:rsid w:val="002811FF"/>
    <w:rsid w:val="00281597"/>
    <w:rsid w:val="00281AF7"/>
    <w:rsid w:val="002822B6"/>
    <w:rsid w:val="002835E9"/>
    <w:rsid w:val="0028481E"/>
    <w:rsid w:val="0028489B"/>
    <w:rsid w:val="00285FBC"/>
    <w:rsid w:val="00286786"/>
    <w:rsid w:val="00286B90"/>
    <w:rsid w:val="00286FC5"/>
    <w:rsid w:val="00287485"/>
    <w:rsid w:val="00290535"/>
    <w:rsid w:val="002906CC"/>
    <w:rsid w:val="00290D07"/>
    <w:rsid w:val="002913BA"/>
    <w:rsid w:val="002916D8"/>
    <w:rsid w:val="00292471"/>
    <w:rsid w:val="00292BD3"/>
    <w:rsid w:val="00293D63"/>
    <w:rsid w:val="00293EE6"/>
    <w:rsid w:val="002958C7"/>
    <w:rsid w:val="0029662D"/>
    <w:rsid w:val="00296D6E"/>
    <w:rsid w:val="0029713B"/>
    <w:rsid w:val="00297479"/>
    <w:rsid w:val="00297766"/>
    <w:rsid w:val="002979E6"/>
    <w:rsid w:val="002A066E"/>
    <w:rsid w:val="002A0A2D"/>
    <w:rsid w:val="002A1A59"/>
    <w:rsid w:val="002A31A6"/>
    <w:rsid w:val="002A36B6"/>
    <w:rsid w:val="002A3905"/>
    <w:rsid w:val="002A40CA"/>
    <w:rsid w:val="002B0002"/>
    <w:rsid w:val="002B0137"/>
    <w:rsid w:val="002B0736"/>
    <w:rsid w:val="002B08DA"/>
    <w:rsid w:val="002B131C"/>
    <w:rsid w:val="002B2F1A"/>
    <w:rsid w:val="002B3260"/>
    <w:rsid w:val="002B443F"/>
    <w:rsid w:val="002B45D5"/>
    <w:rsid w:val="002B4B93"/>
    <w:rsid w:val="002B4C11"/>
    <w:rsid w:val="002B4E37"/>
    <w:rsid w:val="002B58A5"/>
    <w:rsid w:val="002B5F90"/>
    <w:rsid w:val="002B613F"/>
    <w:rsid w:val="002B689D"/>
    <w:rsid w:val="002B7726"/>
    <w:rsid w:val="002C2731"/>
    <w:rsid w:val="002C299C"/>
    <w:rsid w:val="002C3155"/>
    <w:rsid w:val="002C5017"/>
    <w:rsid w:val="002C5585"/>
    <w:rsid w:val="002C7220"/>
    <w:rsid w:val="002D13CA"/>
    <w:rsid w:val="002D179C"/>
    <w:rsid w:val="002D1D72"/>
    <w:rsid w:val="002D1FCF"/>
    <w:rsid w:val="002D27FF"/>
    <w:rsid w:val="002D3A4E"/>
    <w:rsid w:val="002D3B8E"/>
    <w:rsid w:val="002D4AED"/>
    <w:rsid w:val="002D4BA6"/>
    <w:rsid w:val="002D4D72"/>
    <w:rsid w:val="002D4F05"/>
    <w:rsid w:val="002D4F88"/>
    <w:rsid w:val="002D5ABF"/>
    <w:rsid w:val="002D7EDC"/>
    <w:rsid w:val="002E08AB"/>
    <w:rsid w:val="002E16C1"/>
    <w:rsid w:val="002E2550"/>
    <w:rsid w:val="002E4A74"/>
    <w:rsid w:val="002E58F2"/>
    <w:rsid w:val="002E68EB"/>
    <w:rsid w:val="002E6BEE"/>
    <w:rsid w:val="002E767F"/>
    <w:rsid w:val="002E7A95"/>
    <w:rsid w:val="002F12D1"/>
    <w:rsid w:val="002F17C6"/>
    <w:rsid w:val="002F2286"/>
    <w:rsid w:val="002F2522"/>
    <w:rsid w:val="002F30CE"/>
    <w:rsid w:val="002F34D4"/>
    <w:rsid w:val="002F354F"/>
    <w:rsid w:val="002F369F"/>
    <w:rsid w:val="002F463B"/>
    <w:rsid w:val="002F474A"/>
    <w:rsid w:val="002F6402"/>
    <w:rsid w:val="002F6A17"/>
    <w:rsid w:val="002F6B3D"/>
    <w:rsid w:val="002F75D8"/>
    <w:rsid w:val="00300ECF"/>
    <w:rsid w:val="003011F5"/>
    <w:rsid w:val="003016B4"/>
    <w:rsid w:val="00302587"/>
    <w:rsid w:val="00302A6F"/>
    <w:rsid w:val="00303908"/>
    <w:rsid w:val="00303AA3"/>
    <w:rsid w:val="003041E7"/>
    <w:rsid w:val="00304787"/>
    <w:rsid w:val="003048B3"/>
    <w:rsid w:val="00306B3F"/>
    <w:rsid w:val="00307389"/>
    <w:rsid w:val="003076F3"/>
    <w:rsid w:val="00310016"/>
    <w:rsid w:val="003103B2"/>
    <w:rsid w:val="003106D8"/>
    <w:rsid w:val="00311338"/>
    <w:rsid w:val="003126CE"/>
    <w:rsid w:val="00312865"/>
    <w:rsid w:val="003137DA"/>
    <w:rsid w:val="003138A5"/>
    <w:rsid w:val="00313FA9"/>
    <w:rsid w:val="00315733"/>
    <w:rsid w:val="003158EE"/>
    <w:rsid w:val="00315A66"/>
    <w:rsid w:val="00315A89"/>
    <w:rsid w:val="00316D26"/>
    <w:rsid w:val="00320296"/>
    <w:rsid w:val="003211A6"/>
    <w:rsid w:val="00321AE9"/>
    <w:rsid w:val="0032226C"/>
    <w:rsid w:val="0032314D"/>
    <w:rsid w:val="003238BA"/>
    <w:rsid w:val="003239A6"/>
    <w:rsid w:val="00323FD6"/>
    <w:rsid w:val="00324185"/>
    <w:rsid w:val="00324C34"/>
    <w:rsid w:val="00325E8B"/>
    <w:rsid w:val="003266D3"/>
    <w:rsid w:val="00330247"/>
    <w:rsid w:val="0033070B"/>
    <w:rsid w:val="00331797"/>
    <w:rsid w:val="003321E7"/>
    <w:rsid w:val="003325E3"/>
    <w:rsid w:val="0033289C"/>
    <w:rsid w:val="00333231"/>
    <w:rsid w:val="00333347"/>
    <w:rsid w:val="00333596"/>
    <w:rsid w:val="00334171"/>
    <w:rsid w:val="003345E7"/>
    <w:rsid w:val="003350E3"/>
    <w:rsid w:val="00335967"/>
    <w:rsid w:val="00336DAE"/>
    <w:rsid w:val="003375AD"/>
    <w:rsid w:val="00337BCD"/>
    <w:rsid w:val="00337C0E"/>
    <w:rsid w:val="00337DED"/>
    <w:rsid w:val="00340889"/>
    <w:rsid w:val="003408C8"/>
    <w:rsid w:val="00341678"/>
    <w:rsid w:val="00342970"/>
    <w:rsid w:val="00342C3C"/>
    <w:rsid w:val="00342F42"/>
    <w:rsid w:val="00343F4A"/>
    <w:rsid w:val="0034526A"/>
    <w:rsid w:val="0034592C"/>
    <w:rsid w:val="003465F1"/>
    <w:rsid w:val="0034693B"/>
    <w:rsid w:val="00347181"/>
    <w:rsid w:val="00347CBF"/>
    <w:rsid w:val="00350417"/>
    <w:rsid w:val="00350F8E"/>
    <w:rsid w:val="0035162B"/>
    <w:rsid w:val="0035194C"/>
    <w:rsid w:val="00351BE1"/>
    <w:rsid w:val="00352B8C"/>
    <w:rsid w:val="00353661"/>
    <w:rsid w:val="00355722"/>
    <w:rsid w:val="003557A7"/>
    <w:rsid w:val="00355985"/>
    <w:rsid w:val="00355CC6"/>
    <w:rsid w:val="00356167"/>
    <w:rsid w:val="0035625F"/>
    <w:rsid w:val="0036110B"/>
    <w:rsid w:val="003614CA"/>
    <w:rsid w:val="00361680"/>
    <w:rsid w:val="003621B9"/>
    <w:rsid w:val="003643B6"/>
    <w:rsid w:val="003644BF"/>
    <w:rsid w:val="00365304"/>
    <w:rsid w:val="00365438"/>
    <w:rsid w:val="00367485"/>
    <w:rsid w:val="00367CDF"/>
    <w:rsid w:val="00370144"/>
    <w:rsid w:val="00370D0E"/>
    <w:rsid w:val="00370E63"/>
    <w:rsid w:val="00371299"/>
    <w:rsid w:val="0037150B"/>
    <w:rsid w:val="00371850"/>
    <w:rsid w:val="00371932"/>
    <w:rsid w:val="00371D13"/>
    <w:rsid w:val="00372147"/>
    <w:rsid w:val="00374BAB"/>
    <w:rsid w:val="00376A6C"/>
    <w:rsid w:val="00376DBD"/>
    <w:rsid w:val="0037751F"/>
    <w:rsid w:val="003779F8"/>
    <w:rsid w:val="00377B88"/>
    <w:rsid w:val="00377C6C"/>
    <w:rsid w:val="00377E4C"/>
    <w:rsid w:val="00381E0D"/>
    <w:rsid w:val="00382893"/>
    <w:rsid w:val="0038585D"/>
    <w:rsid w:val="00387C30"/>
    <w:rsid w:val="00387FAC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3372"/>
    <w:rsid w:val="003946CD"/>
    <w:rsid w:val="00395624"/>
    <w:rsid w:val="00395FAE"/>
    <w:rsid w:val="00396272"/>
    <w:rsid w:val="00396F6D"/>
    <w:rsid w:val="003A087E"/>
    <w:rsid w:val="003A1081"/>
    <w:rsid w:val="003A1AA5"/>
    <w:rsid w:val="003A3152"/>
    <w:rsid w:val="003A33CD"/>
    <w:rsid w:val="003A3DCA"/>
    <w:rsid w:val="003A5DFD"/>
    <w:rsid w:val="003A5F3B"/>
    <w:rsid w:val="003A69E2"/>
    <w:rsid w:val="003A6F30"/>
    <w:rsid w:val="003A73E2"/>
    <w:rsid w:val="003B1139"/>
    <w:rsid w:val="003B1936"/>
    <w:rsid w:val="003B1D9B"/>
    <w:rsid w:val="003B254B"/>
    <w:rsid w:val="003B25D3"/>
    <w:rsid w:val="003B2AB7"/>
    <w:rsid w:val="003B48C8"/>
    <w:rsid w:val="003B4FA0"/>
    <w:rsid w:val="003B521C"/>
    <w:rsid w:val="003B5494"/>
    <w:rsid w:val="003B5707"/>
    <w:rsid w:val="003B5F53"/>
    <w:rsid w:val="003B6443"/>
    <w:rsid w:val="003B69DB"/>
    <w:rsid w:val="003B6C4E"/>
    <w:rsid w:val="003B6D44"/>
    <w:rsid w:val="003B727A"/>
    <w:rsid w:val="003B7318"/>
    <w:rsid w:val="003B7DFC"/>
    <w:rsid w:val="003C1647"/>
    <w:rsid w:val="003C4619"/>
    <w:rsid w:val="003C4A96"/>
    <w:rsid w:val="003C5673"/>
    <w:rsid w:val="003C5973"/>
    <w:rsid w:val="003C5C14"/>
    <w:rsid w:val="003C64C5"/>
    <w:rsid w:val="003C7139"/>
    <w:rsid w:val="003D0255"/>
    <w:rsid w:val="003D0499"/>
    <w:rsid w:val="003D504E"/>
    <w:rsid w:val="003D51F2"/>
    <w:rsid w:val="003D5981"/>
    <w:rsid w:val="003D5B14"/>
    <w:rsid w:val="003D6071"/>
    <w:rsid w:val="003D6079"/>
    <w:rsid w:val="003D6D71"/>
    <w:rsid w:val="003D7245"/>
    <w:rsid w:val="003D7C40"/>
    <w:rsid w:val="003E0523"/>
    <w:rsid w:val="003E3F49"/>
    <w:rsid w:val="003E4236"/>
    <w:rsid w:val="003E4A86"/>
    <w:rsid w:val="003E52F5"/>
    <w:rsid w:val="003E5499"/>
    <w:rsid w:val="003E549E"/>
    <w:rsid w:val="003E59FF"/>
    <w:rsid w:val="003E5B37"/>
    <w:rsid w:val="003E6FE2"/>
    <w:rsid w:val="003E704F"/>
    <w:rsid w:val="003E78F5"/>
    <w:rsid w:val="003E7A6D"/>
    <w:rsid w:val="003F04B0"/>
    <w:rsid w:val="003F0EF7"/>
    <w:rsid w:val="003F1325"/>
    <w:rsid w:val="003F1673"/>
    <w:rsid w:val="003F3263"/>
    <w:rsid w:val="003F5394"/>
    <w:rsid w:val="003F54D6"/>
    <w:rsid w:val="003F5593"/>
    <w:rsid w:val="003F6AB1"/>
    <w:rsid w:val="003F6BD5"/>
    <w:rsid w:val="003F6D4F"/>
    <w:rsid w:val="003F70E3"/>
    <w:rsid w:val="003F72AD"/>
    <w:rsid w:val="004007B1"/>
    <w:rsid w:val="004008B0"/>
    <w:rsid w:val="0040112C"/>
    <w:rsid w:val="004012FA"/>
    <w:rsid w:val="004023CF"/>
    <w:rsid w:val="0040385A"/>
    <w:rsid w:val="00404A9F"/>
    <w:rsid w:val="00404C2C"/>
    <w:rsid w:val="0040698F"/>
    <w:rsid w:val="00406F35"/>
    <w:rsid w:val="00407516"/>
    <w:rsid w:val="00407F95"/>
    <w:rsid w:val="00411C08"/>
    <w:rsid w:val="00412839"/>
    <w:rsid w:val="00412D64"/>
    <w:rsid w:val="0041320B"/>
    <w:rsid w:val="004136DA"/>
    <w:rsid w:val="004137D5"/>
    <w:rsid w:val="00413EB0"/>
    <w:rsid w:val="00413FD4"/>
    <w:rsid w:val="004141D6"/>
    <w:rsid w:val="0041484B"/>
    <w:rsid w:val="00417962"/>
    <w:rsid w:val="00420739"/>
    <w:rsid w:val="00420810"/>
    <w:rsid w:val="00420E58"/>
    <w:rsid w:val="00421602"/>
    <w:rsid w:val="00421A11"/>
    <w:rsid w:val="00421E98"/>
    <w:rsid w:val="00423728"/>
    <w:rsid w:val="00423A73"/>
    <w:rsid w:val="004244D7"/>
    <w:rsid w:val="00424573"/>
    <w:rsid w:val="00424974"/>
    <w:rsid w:val="00426BC8"/>
    <w:rsid w:val="00426BC9"/>
    <w:rsid w:val="00426DC4"/>
    <w:rsid w:val="00426F11"/>
    <w:rsid w:val="00427A12"/>
    <w:rsid w:val="00433688"/>
    <w:rsid w:val="00434775"/>
    <w:rsid w:val="00434B3F"/>
    <w:rsid w:val="00434FC9"/>
    <w:rsid w:val="00435750"/>
    <w:rsid w:val="00436D74"/>
    <w:rsid w:val="00437D31"/>
    <w:rsid w:val="004414D4"/>
    <w:rsid w:val="004415D8"/>
    <w:rsid w:val="0044254D"/>
    <w:rsid w:val="0044291E"/>
    <w:rsid w:val="004434AB"/>
    <w:rsid w:val="00443605"/>
    <w:rsid w:val="00443736"/>
    <w:rsid w:val="00443B3B"/>
    <w:rsid w:val="00444EC3"/>
    <w:rsid w:val="004451F0"/>
    <w:rsid w:val="00445512"/>
    <w:rsid w:val="00445864"/>
    <w:rsid w:val="00445D3C"/>
    <w:rsid w:val="00445D67"/>
    <w:rsid w:val="0044721D"/>
    <w:rsid w:val="00452151"/>
    <w:rsid w:val="00452174"/>
    <w:rsid w:val="00452291"/>
    <w:rsid w:val="00452617"/>
    <w:rsid w:val="00452BD9"/>
    <w:rsid w:val="004536BE"/>
    <w:rsid w:val="00453CA4"/>
    <w:rsid w:val="00455DE7"/>
    <w:rsid w:val="00457435"/>
    <w:rsid w:val="004578EE"/>
    <w:rsid w:val="00457BE6"/>
    <w:rsid w:val="0046072E"/>
    <w:rsid w:val="00461712"/>
    <w:rsid w:val="004633B4"/>
    <w:rsid w:val="00463987"/>
    <w:rsid w:val="004655EF"/>
    <w:rsid w:val="00466BAA"/>
    <w:rsid w:val="00470F5C"/>
    <w:rsid w:val="00471AC3"/>
    <w:rsid w:val="00471EE7"/>
    <w:rsid w:val="004725C7"/>
    <w:rsid w:val="00473D9F"/>
    <w:rsid w:val="00475BCA"/>
    <w:rsid w:val="004764EF"/>
    <w:rsid w:val="004771D8"/>
    <w:rsid w:val="004806F3"/>
    <w:rsid w:val="00480DC4"/>
    <w:rsid w:val="00481686"/>
    <w:rsid w:val="0048257E"/>
    <w:rsid w:val="00483739"/>
    <w:rsid w:val="004848FE"/>
    <w:rsid w:val="004849F3"/>
    <w:rsid w:val="004852C9"/>
    <w:rsid w:val="0048708D"/>
    <w:rsid w:val="00487F33"/>
    <w:rsid w:val="00490B73"/>
    <w:rsid w:val="00491D3C"/>
    <w:rsid w:val="00492303"/>
    <w:rsid w:val="00493B8F"/>
    <w:rsid w:val="00493F04"/>
    <w:rsid w:val="0049447A"/>
    <w:rsid w:val="004953BC"/>
    <w:rsid w:val="00495CB8"/>
    <w:rsid w:val="00495D50"/>
    <w:rsid w:val="004961B2"/>
    <w:rsid w:val="004966C7"/>
    <w:rsid w:val="004967FC"/>
    <w:rsid w:val="00496B8B"/>
    <w:rsid w:val="004A0CAA"/>
    <w:rsid w:val="004A0F8D"/>
    <w:rsid w:val="004A14C9"/>
    <w:rsid w:val="004A35FD"/>
    <w:rsid w:val="004A3EBE"/>
    <w:rsid w:val="004A5235"/>
    <w:rsid w:val="004A543C"/>
    <w:rsid w:val="004A5741"/>
    <w:rsid w:val="004A596C"/>
    <w:rsid w:val="004A63AD"/>
    <w:rsid w:val="004A6794"/>
    <w:rsid w:val="004B088B"/>
    <w:rsid w:val="004B15E9"/>
    <w:rsid w:val="004B17D9"/>
    <w:rsid w:val="004B1EC5"/>
    <w:rsid w:val="004B2BA5"/>
    <w:rsid w:val="004B2CD9"/>
    <w:rsid w:val="004B3280"/>
    <w:rsid w:val="004B3B7F"/>
    <w:rsid w:val="004B40B7"/>
    <w:rsid w:val="004B4329"/>
    <w:rsid w:val="004B4D52"/>
    <w:rsid w:val="004B52DE"/>
    <w:rsid w:val="004B6380"/>
    <w:rsid w:val="004B6455"/>
    <w:rsid w:val="004B7496"/>
    <w:rsid w:val="004C07AA"/>
    <w:rsid w:val="004C08B5"/>
    <w:rsid w:val="004C31DC"/>
    <w:rsid w:val="004C3868"/>
    <w:rsid w:val="004C423B"/>
    <w:rsid w:val="004C4286"/>
    <w:rsid w:val="004C446E"/>
    <w:rsid w:val="004C44F0"/>
    <w:rsid w:val="004C4520"/>
    <w:rsid w:val="004C53DD"/>
    <w:rsid w:val="004C5C07"/>
    <w:rsid w:val="004C6149"/>
    <w:rsid w:val="004C6A56"/>
    <w:rsid w:val="004C6C54"/>
    <w:rsid w:val="004C7152"/>
    <w:rsid w:val="004C7283"/>
    <w:rsid w:val="004D08C9"/>
    <w:rsid w:val="004D0E36"/>
    <w:rsid w:val="004D0F9A"/>
    <w:rsid w:val="004D0FA2"/>
    <w:rsid w:val="004D22B5"/>
    <w:rsid w:val="004D2805"/>
    <w:rsid w:val="004D2AFB"/>
    <w:rsid w:val="004D2D7A"/>
    <w:rsid w:val="004D389A"/>
    <w:rsid w:val="004D38E6"/>
    <w:rsid w:val="004D3D3D"/>
    <w:rsid w:val="004D4386"/>
    <w:rsid w:val="004D4F01"/>
    <w:rsid w:val="004D55F4"/>
    <w:rsid w:val="004D61BA"/>
    <w:rsid w:val="004D6417"/>
    <w:rsid w:val="004D6650"/>
    <w:rsid w:val="004D66CD"/>
    <w:rsid w:val="004D7711"/>
    <w:rsid w:val="004D7A67"/>
    <w:rsid w:val="004E15ED"/>
    <w:rsid w:val="004E3B5B"/>
    <w:rsid w:val="004E401A"/>
    <w:rsid w:val="004E5D16"/>
    <w:rsid w:val="004F0ABF"/>
    <w:rsid w:val="004F4351"/>
    <w:rsid w:val="004F49E6"/>
    <w:rsid w:val="004F4D8C"/>
    <w:rsid w:val="004F5193"/>
    <w:rsid w:val="004F5744"/>
    <w:rsid w:val="004F5DAF"/>
    <w:rsid w:val="004F5FA8"/>
    <w:rsid w:val="004F6047"/>
    <w:rsid w:val="004F710C"/>
    <w:rsid w:val="004F7C0E"/>
    <w:rsid w:val="004F7D5A"/>
    <w:rsid w:val="004F7FAA"/>
    <w:rsid w:val="005002AC"/>
    <w:rsid w:val="00500448"/>
    <w:rsid w:val="0050117D"/>
    <w:rsid w:val="00502EA5"/>
    <w:rsid w:val="0050357C"/>
    <w:rsid w:val="0050374B"/>
    <w:rsid w:val="005038BC"/>
    <w:rsid w:val="00503B91"/>
    <w:rsid w:val="00504907"/>
    <w:rsid w:val="005054E3"/>
    <w:rsid w:val="00505AEC"/>
    <w:rsid w:val="00506052"/>
    <w:rsid w:val="005068DB"/>
    <w:rsid w:val="00507306"/>
    <w:rsid w:val="00507801"/>
    <w:rsid w:val="00507CD8"/>
    <w:rsid w:val="00510871"/>
    <w:rsid w:val="00510CBE"/>
    <w:rsid w:val="00511638"/>
    <w:rsid w:val="0051239C"/>
    <w:rsid w:val="005124CD"/>
    <w:rsid w:val="00512881"/>
    <w:rsid w:val="00514915"/>
    <w:rsid w:val="00515062"/>
    <w:rsid w:val="005163A6"/>
    <w:rsid w:val="00516979"/>
    <w:rsid w:val="00516C03"/>
    <w:rsid w:val="0052055E"/>
    <w:rsid w:val="005220B9"/>
    <w:rsid w:val="0052254F"/>
    <w:rsid w:val="00522A90"/>
    <w:rsid w:val="005233D9"/>
    <w:rsid w:val="0052395D"/>
    <w:rsid w:val="0052417C"/>
    <w:rsid w:val="00526BDE"/>
    <w:rsid w:val="005314B2"/>
    <w:rsid w:val="00531FC4"/>
    <w:rsid w:val="00532A75"/>
    <w:rsid w:val="00534CAF"/>
    <w:rsid w:val="00534E8D"/>
    <w:rsid w:val="005354D1"/>
    <w:rsid w:val="00535975"/>
    <w:rsid w:val="00536441"/>
    <w:rsid w:val="00536779"/>
    <w:rsid w:val="005369AB"/>
    <w:rsid w:val="0053747F"/>
    <w:rsid w:val="00537DF3"/>
    <w:rsid w:val="00540FB4"/>
    <w:rsid w:val="00541635"/>
    <w:rsid w:val="00541638"/>
    <w:rsid w:val="00542763"/>
    <w:rsid w:val="00543308"/>
    <w:rsid w:val="00543429"/>
    <w:rsid w:val="00543BF8"/>
    <w:rsid w:val="0054431B"/>
    <w:rsid w:val="005447AB"/>
    <w:rsid w:val="005447D3"/>
    <w:rsid w:val="00545736"/>
    <w:rsid w:val="00545D5B"/>
    <w:rsid w:val="00545ECE"/>
    <w:rsid w:val="00546B9B"/>
    <w:rsid w:val="00546DD8"/>
    <w:rsid w:val="00546F2A"/>
    <w:rsid w:val="00547F10"/>
    <w:rsid w:val="005501C1"/>
    <w:rsid w:val="00550AC6"/>
    <w:rsid w:val="00550BF3"/>
    <w:rsid w:val="00551AD5"/>
    <w:rsid w:val="00552218"/>
    <w:rsid w:val="005526EE"/>
    <w:rsid w:val="00552775"/>
    <w:rsid w:val="00552EEB"/>
    <w:rsid w:val="0055341C"/>
    <w:rsid w:val="005539C9"/>
    <w:rsid w:val="00553EAE"/>
    <w:rsid w:val="00554377"/>
    <w:rsid w:val="0055453E"/>
    <w:rsid w:val="00555151"/>
    <w:rsid w:val="005554A1"/>
    <w:rsid w:val="00555916"/>
    <w:rsid w:val="0055620E"/>
    <w:rsid w:val="005562DB"/>
    <w:rsid w:val="00556DCF"/>
    <w:rsid w:val="0055710E"/>
    <w:rsid w:val="00557322"/>
    <w:rsid w:val="0055780A"/>
    <w:rsid w:val="00557A6C"/>
    <w:rsid w:val="0056055A"/>
    <w:rsid w:val="0056119C"/>
    <w:rsid w:val="00561D46"/>
    <w:rsid w:val="00564EA5"/>
    <w:rsid w:val="00565568"/>
    <w:rsid w:val="00565DF6"/>
    <w:rsid w:val="005702C6"/>
    <w:rsid w:val="005702E9"/>
    <w:rsid w:val="005706C4"/>
    <w:rsid w:val="005708FC"/>
    <w:rsid w:val="00570B3C"/>
    <w:rsid w:val="00570EAF"/>
    <w:rsid w:val="00571607"/>
    <w:rsid w:val="0057179A"/>
    <w:rsid w:val="0057223B"/>
    <w:rsid w:val="00572D3B"/>
    <w:rsid w:val="005733F0"/>
    <w:rsid w:val="00574809"/>
    <w:rsid w:val="00574EC3"/>
    <w:rsid w:val="00576478"/>
    <w:rsid w:val="0057680C"/>
    <w:rsid w:val="005770DA"/>
    <w:rsid w:val="005775EB"/>
    <w:rsid w:val="00577ECA"/>
    <w:rsid w:val="005800DC"/>
    <w:rsid w:val="005802A4"/>
    <w:rsid w:val="0058065A"/>
    <w:rsid w:val="00580AE1"/>
    <w:rsid w:val="00582776"/>
    <w:rsid w:val="00582BFB"/>
    <w:rsid w:val="00582DB4"/>
    <w:rsid w:val="00582FF8"/>
    <w:rsid w:val="00583220"/>
    <w:rsid w:val="00583C9E"/>
    <w:rsid w:val="00583DD8"/>
    <w:rsid w:val="00584C39"/>
    <w:rsid w:val="00584C61"/>
    <w:rsid w:val="005851B5"/>
    <w:rsid w:val="005859A1"/>
    <w:rsid w:val="0058669D"/>
    <w:rsid w:val="00586FB1"/>
    <w:rsid w:val="00586FB8"/>
    <w:rsid w:val="00587F13"/>
    <w:rsid w:val="005916CB"/>
    <w:rsid w:val="00591C5D"/>
    <w:rsid w:val="00593885"/>
    <w:rsid w:val="00593B13"/>
    <w:rsid w:val="005942F3"/>
    <w:rsid w:val="00595851"/>
    <w:rsid w:val="00596728"/>
    <w:rsid w:val="00596966"/>
    <w:rsid w:val="005969C4"/>
    <w:rsid w:val="00597DEF"/>
    <w:rsid w:val="005A0023"/>
    <w:rsid w:val="005A0D35"/>
    <w:rsid w:val="005A256B"/>
    <w:rsid w:val="005A35A4"/>
    <w:rsid w:val="005A391A"/>
    <w:rsid w:val="005A3A14"/>
    <w:rsid w:val="005A3AFE"/>
    <w:rsid w:val="005A3E4D"/>
    <w:rsid w:val="005A4688"/>
    <w:rsid w:val="005A46EF"/>
    <w:rsid w:val="005A4966"/>
    <w:rsid w:val="005A52D7"/>
    <w:rsid w:val="005A574C"/>
    <w:rsid w:val="005A5913"/>
    <w:rsid w:val="005A7220"/>
    <w:rsid w:val="005B0E47"/>
    <w:rsid w:val="005B164B"/>
    <w:rsid w:val="005B189D"/>
    <w:rsid w:val="005B20CD"/>
    <w:rsid w:val="005B2390"/>
    <w:rsid w:val="005B3A7B"/>
    <w:rsid w:val="005B3B5D"/>
    <w:rsid w:val="005B4F24"/>
    <w:rsid w:val="005B6F11"/>
    <w:rsid w:val="005C0EEF"/>
    <w:rsid w:val="005C1277"/>
    <w:rsid w:val="005C1FBD"/>
    <w:rsid w:val="005C2464"/>
    <w:rsid w:val="005C24C8"/>
    <w:rsid w:val="005C39C8"/>
    <w:rsid w:val="005C444C"/>
    <w:rsid w:val="005C57B4"/>
    <w:rsid w:val="005C60E1"/>
    <w:rsid w:val="005C6283"/>
    <w:rsid w:val="005C662A"/>
    <w:rsid w:val="005C6B25"/>
    <w:rsid w:val="005D01CE"/>
    <w:rsid w:val="005D036E"/>
    <w:rsid w:val="005D0D32"/>
    <w:rsid w:val="005D109C"/>
    <w:rsid w:val="005D29E8"/>
    <w:rsid w:val="005D2BA4"/>
    <w:rsid w:val="005D2DC8"/>
    <w:rsid w:val="005D36D1"/>
    <w:rsid w:val="005D63D8"/>
    <w:rsid w:val="005D7131"/>
    <w:rsid w:val="005E00B4"/>
    <w:rsid w:val="005E02A2"/>
    <w:rsid w:val="005E11CA"/>
    <w:rsid w:val="005E2065"/>
    <w:rsid w:val="005E256D"/>
    <w:rsid w:val="005E2FC3"/>
    <w:rsid w:val="005E37CA"/>
    <w:rsid w:val="005E3E0D"/>
    <w:rsid w:val="005E486C"/>
    <w:rsid w:val="005E508B"/>
    <w:rsid w:val="005E51BD"/>
    <w:rsid w:val="005E587F"/>
    <w:rsid w:val="005E5ED7"/>
    <w:rsid w:val="005E7609"/>
    <w:rsid w:val="005E7A47"/>
    <w:rsid w:val="005F09B7"/>
    <w:rsid w:val="005F0FE2"/>
    <w:rsid w:val="005F255B"/>
    <w:rsid w:val="005F2CA8"/>
    <w:rsid w:val="005F3169"/>
    <w:rsid w:val="005F4659"/>
    <w:rsid w:val="005F7CB0"/>
    <w:rsid w:val="005F7D90"/>
    <w:rsid w:val="00601C05"/>
    <w:rsid w:val="00601C53"/>
    <w:rsid w:val="00602643"/>
    <w:rsid w:val="00602CE7"/>
    <w:rsid w:val="00602DDA"/>
    <w:rsid w:val="00603FBA"/>
    <w:rsid w:val="00604BC3"/>
    <w:rsid w:val="0060563A"/>
    <w:rsid w:val="00605C18"/>
    <w:rsid w:val="00606138"/>
    <w:rsid w:val="006074E9"/>
    <w:rsid w:val="00607D16"/>
    <w:rsid w:val="00611207"/>
    <w:rsid w:val="006112E5"/>
    <w:rsid w:val="0061139C"/>
    <w:rsid w:val="00611400"/>
    <w:rsid w:val="00611502"/>
    <w:rsid w:val="00611E24"/>
    <w:rsid w:val="006121E7"/>
    <w:rsid w:val="006126A6"/>
    <w:rsid w:val="0061359E"/>
    <w:rsid w:val="00613CB2"/>
    <w:rsid w:val="00613D62"/>
    <w:rsid w:val="00614B1B"/>
    <w:rsid w:val="006157A0"/>
    <w:rsid w:val="00616A2B"/>
    <w:rsid w:val="00617379"/>
    <w:rsid w:val="006173FC"/>
    <w:rsid w:val="006178AE"/>
    <w:rsid w:val="00620D96"/>
    <w:rsid w:val="00620DCC"/>
    <w:rsid w:val="00620E49"/>
    <w:rsid w:val="00621DBE"/>
    <w:rsid w:val="006223D9"/>
    <w:rsid w:val="00622E1D"/>
    <w:rsid w:val="0062319C"/>
    <w:rsid w:val="006244EF"/>
    <w:rsid w:val="00625219"/>
    <w:rsid w:val="006278A0"/>
    <w:rsid w:val="006317F0"/>
    <w:rsid w:val="00631AEB"/>
    <w:rsid w:val="00631D75"/>
    <w:rsid w:val="00631EEA"/>
    <w:rsid w:val="00632AA4"/>
    <w:rsid w:val="006330CE"/>
    <w:rsid w:val="00633641"/>
    <w:rsid w:val="00633A4F"/>
    <w:rsid w:val="0063485A"/>
    <w:rsid w:val="0063604D"/>
    <w:rsid w:val="00637C16"/>
    <w:rsid w:val="00641580"/>
    <w:rsid w:val="00641AFE"/>
    <w:rsid w:val="0064238B"/>
    <w:rsid w:val="006423DF"/>
    <w:rsid w:val="00643B2E"/>
    <w:rsid w:val="00644448"/>
    <w:rsid w:val="00646475"/>
    <w:rsid w:val="00647104"/>
    <w:rsid w:val="00647AD5"/>
    <w:rsid w:val="00651E87"/>
    <w:rsid w:val="0065246F"/>
    <w:rsid w:val="00652D02"/>
    <w:rsid w:val="00652EB6"/>
    <w:rsid w:val="00653064"/>
    <w:rsid w:val="00654125"/>
    <w:rsid w:val="006542A9"/>
    <w:rsid w:val="006547DA"/>
    <w:rsid w:val="00654EB0"/>
    <w:rsid w:val="006553B7"/>
    <w:rsid w:val="00655A14"/>
    <w:rsid w:val="006565CF"/>
    <w:rsid w:val="00657445"/>
    <w:rsid w:val="00657BCF"/>
    <w:rsid w:val="00657C5D"/>
    <w:rsid w:val="0066095B"/>
    <w:rsid w:val="0066179F"/>
    <w:rsid w:val="00661C77"/>
    <w:rsid w:val="00662B1C"/>
    <w:rsid w:val="00662D1E"/>
    <w:rsid w:val="00662DDC"/>
    <w:rsid w:val="00663EEB"/>
    <w:rsid w:val="00663EFE"/>
    <w:rsid w:val="00664831"/>
    <w:rsid w:val="00664DB7"/>
    <w:rsid w:val="0066580D"/>
    <w:rsid w:val="0066588D"/>
    <w:rsid w:val="00665A5D"/>
    <w:rsid w:val="00665E56"/>
    <w:rsid w:val="00665F74"/>
    <w:rsid w:val="00666116"/>
    <w:rsid w:val="00666BB7"/>
    <w:rsid w:val="00666BC7"/>
    <w:rsid w:val="00666E6E"/>
    <w:rsid w:val="00667E7B"/>
    <w:rsid w:val="00671348"/>
    <w:rsid w:val="00671418"/>
    <w:rsid w:val="00671D66"/>
    <w:rsid w:val="0067209E"/>
    <w:rsid w:val="00672A0F"/>
    <w:rsid w:val="00672E7E"/>
    <w:rsid w:val="00673ADE"/>
    <w:rsid w:val="00673FC1"/>
    <w:rsid w:val="00675F31"/>
    <w:rsid w:val="006760A7"/>
    <w:rsid w:val="00677155"/>
    <w:rsid w:val="00677385"/>
    <w:rsid w:val="0067766F"/>
    <w:rsid w:val="006777D0"/>
    <w:rsid w:val="00677A7B"/>
    <w:rsid w:val="00680210"/>
    <w:rsid w:val="00680AFA"/>
    <w:rsid w:val="00680EC5"/>
    <w:rsid w:val="00681A0D"/>
    <w:rsid w:val="00681B4A"/>
    <w:rsid w:val="00681F8E"/>
    <w:rsid w:val="00683146"/>
    <w:rsid w:val="006839D3"/>
    <w:rsid w:val="00683DE1"/>
    <w:rsid w:val="0068400D"/>
    <w:rsid w:val="00684A0E"/>
    <w:rsid w:val="00684B26"/>
    <w:rsid w:val="00684BFC"/>
    <w:rsid w:val="006851B6"/>
    <w:rsid w:val="006862C0"/>
    <w:rsid w:val="00687FD9"/>
    <w:rsid w:val="00690677"/>
    <w:rsid w:val="006907E3"/>
    <w:rsid w:val="00690919"/>
    <w:rsid w:val="006921AD"/>
    <w:rsid w:val="00692447"/>
    <w:rsid w:val="006938C8"/>
    <w:rsid w:val="006945D3"/>
    <w:rsid w:val="00696904"/>
    <w:rsid w:val="00696D86"/>
    <w:rsid w:val="006972DC"/>
    <w:rsid w:val="006975F0"/>
    <w:rsid w:val="00697776"/>
    <w:rsid w:val="006A07B9"/>
    <w:rsid w:val="006A140D"/>
    <w:rsid w:val="006A1515"/>
    <w:rsid w:val="006A27A6"/>
    <w:rsid w:val="006A2F17"/>
    <w:rsid w:val="006A423D"/>
    <w:rsid w:val="006A6DA5"/>
    <w:rsid w:val="006A7723"/>
    <w:rsid w:val="006A7DAD"/>
    <w:rsid w:val="006B0A40"/>
    <w:rsid w:val="006B1F36"/>
    <w:rsid w:val="006B207F"/>
    <w:rsid w:val="006B2317"/>
    <w:rsid w:val="006B33F3"/>
    <w:rsid w:val="006B4EEB"/>
    <w:rsid w:val="006B5088"/>
    <w:rsid w:val="006B5414"/>
    <w:rsid w:val="006B5510"/>
    <w:rsid w:val="006B5A8E"/>
    <w:rsid w:val="006B6026"/>
    <w:rsid w:val="006B61B3"/>
    <w:rsid w:val="006B6FC4"/>
    <w:rsid w:val="006B75B0"/>
    <w:rsid w:val="006B76CA"/>
    <w:rsid w:val="006B7701"/>
    <w:rsid w:val="006B7DCD"/>
    <w:rsid w:val="006C069D"/>
    <w:rsid w:val="006C21BE"/>
    <w:rsid w:val="006C44F5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3FE6"/>
    <w:rsid w:val="006D4B43"/>
    <w:rsid w:val="006D5643"/>
    <w:rsid w:val="006D5BBE"/>
    <w:rsid w:val="006D67CB"/>
    <w:rsid w:val="006D681B"/>
    <w:rsid w:val="006D6AB4"/>
    <w:rsid w:val="006D6AC4"/>
    <w:rsid w:val="006D7661"/>
    <w:rsid w:val="006D76F0"/>
    <w:rsid w:val="006D7B79"/>
    <w:rsid w:val="006D7B8B"/>
    <w:rsid w:val="006E046D"/>
    <w:rsid w:val="006E051F"/>
    <w:rsid w:val="006E0ADA"/>
    <w:rsid w:val="006E0CE2"/>
    <w:rsid w:val="006E0E36"/>
    <w:rsid w:val="006E1A9C"/>
    <w:rsid w:val="006E208A"/>
    <w:rsid w:val="006E21EA"/>
    <w:rsid w:val="006E332C"/>
    <w:rsid w:val="006E37B6"/>
    <w:rsid w:val="006E42B1"/>
    <w:rsid w:val="006E4404"/>
    <w:rsid w:val="006E46CC"/>
    <w:rsid w:val="006E5205"/>
    <w:rsid w:val="006E6B48"/>
    <w:rsid w:val="006E6DED"/>
    <w:rsid w:val="006E70D5"/>
    <w:rsid w:val="006E7BBB"/>
    <w:rsid w:val="006F00C8"/>
    <w:rsid w:val="006F04A6"/>
    <w:rsid w:val="006F0C24"/>
    <w:rsid w:val="006F1B74"/>
    <w:rsid w:val="006F206E"/>
    <w:rsid w:val="006F2679"/>
    <w:rsid w:val="006F286B"/>
    <w:rsid w:val="006F2DFC"/>
    <w:rsid w:val="006F3845"/>
    <w:rsid w:val="006F3BFC"/>
    <w:rsid w:val="006F3EED"/>
    <w:rsid w:val="006F454A"/>
    <w:rsid w:val="006F4AA3"/>
    <w:rsid w:val="006F5A5C"/>
    <w:rsid w:val="006F68C6"/>
    <w:rsid w:val="00700C90"/>
    <w:rsid w:val="007013FE"/>
    <w:rsid w:val="00701449"/>
    <w:rsid w:val="007015A3"/>
    <w:rsid w:val="00703ED8"/>
    <w:rsid w:val="00704426"/>
    <w:rsid w:val="00704862"/>
    <w:rsid w:val="00705E36"/>
    <w:rsid w:val="00706137"/>
    <w:rsid w:val="00706359"/>
    <w:rsid w:val="00706371"/>
    <w:rsid w:val="007077A6"/>
    <w:rsid w:val="00710364"/>
    <w:rsid w:val="00710414"/>
    <w:rsid w:val="00710C55"/>
    <w:rsid w:val="00710F72"/>
    <w:rsid w:val="00712A38"/>
    <w:rsid w:val="007134BC"/>
    <w:rsid w:val="007136D5"/>
    <w:rsid w:val="00713A5D"/>
    <w:rsid w:val="00713D72"/>
    <w:rsid w:val="007143F4"/>
    <w:rsid w:val="007147F6"/>
    <w:rsid w:val="00714D3B"/>
    <w:rsid w:val="00715104"/>
    <w:rsid w:val="00715AC8"/>
    <w:rsid w:val="007163C3"/>
    <w:rsid w:val="00716408"/>
    <w:rsid w:val="00716D4A"/>
    <w:rsid w:val="00717573"/>
    <w:rsid w:val="00717D30"/>
    <w:rsid w:val="007206E7"/>
    <w:rsid w:val="00721389"/>
    <w:rsid w:val="007214D0"/>
    <w:rsid w:val="00722820"/>
    <w:rsid w:val="007237F8"/>
    <w:rsid w:val="0072436F"/>
    <w:rsid w:val="00724E12"/>
    <w:rsid w:val="0072691C"/>
    <w:rsid w:val="00726D32"/>
    <w:rsid w:val="00727129"/>
    <w:rsid w:val="00730302"/>
    <w:rsid w:val="007313B4"/>
    <w:rsid w:val="00732E5D"/>
    <w:rsid w:val="00734347"/>
    <w:rsid w:val="007348AB"/>
    <w:rsid w:val="007349C4"/>
    <w:rsid w:val="00734B38"/>
    <w:rsid w:val="0073535B"/>
    <w:rsid w:val="00735F80"/>
    <w:rsid w:val="00736043"/>
    <w:rsid w:val="00740314"/>
    <w:rsid w:val="00740CC6"/>
    <w:rsid w:val="00741983"/>
    <w:rsid w:val="00741BF6"/>
    <w:rsid w:val="007424BC"/>
    <w:rsid w:val="00742628"/>
    <w:rsid w:val="007428AE"/>
    <w:rsid w:val="007440AD"/>
    <w:rsid w:val="007441BC"/>
    <w:rsid w:val="007449FA"/>
    <w:rsid w:val="00745F18"/>
    <w:rsid w:val="00746A0C"/>
    <w:rsid w:val="00747106"/>
    <w:rsid w:val="007479DE"/>
    <w:rsid w:val="007515CC"/>
    <w:rsid w:val="00753AE3"/>
    <w:rsid w:val="00753BF1"/>
    <w:rsid w:val="00753D93"/>
    <w:rsid w:val="00753F70"/>
    <w:rsid w:val="007547B6"/>
    <w:rsid w:val="00754883"/>
    <w:rsid w:val="00754AE9"/>
    <w:rsid w:val="00754BE9"/>
    <w:rsid w:val="00755723"/>
    <w:rsid w:val="007562A2"/>
    <w:rsid w:val="00756982"/>
    <w:rsid w:val="0075762D"/>
    <w:rsid w:val="007617C9"/>
    <w:rsid w:val="00761CC0"/>
    <w:rsid w:val="00761EF0"/>
    <w:rsid w:val="00763B49"/>
    <w:rsid w:val="0076403C"/>
    <w:rsid w:val="00765760"/>
    <w:rsid w:val="00766400"/>
    <w:rsid w:val="007667D1"/>
    <w:rsid w:val="00767490"/>
    <w:rsid w:val="007674D7"/>
    <w:rsid w:val="007678F0"/>
    <w:rsid w:val="00770749"/>
    <w:rsid w:val="00770F47"/>
    <w:rsid w:val="00772404"/>
    <w:rsid w:val="007729FC"/>
    <w:rsid w:val="007738FC"/>
    <w:rsid w:val="007739C2"/>
    <w:rsid w:val="007739FE"/>
    <w:rsid w:val="00774379"/>
    <w:rsid w:val="007746ED"/>
    <w:rsid w:val="00774B76"/>
    <w:rsid w:val="00775A61"/>
    <w:rsid w:val="00775A66"/>
    <w:rsid w:val="007762EB"/>
    <w:rsid w:val="00776F35"/>
    <w:rsid w:val="00777547"/>
    <w:rsid w:val="00777853"/>
    <w:rsid w:val="00777B21"/>
    <w:rsid w:val="00780AD1"/>
    <w:rsid w:val="00781FFA"/>
    <w:rsid w:val="0078209A"/>
    <w:rsid w:val="00782992"/>
    <w:rsid w:val="00782DDE"/>
    <w:rsid w:val="00782FA5"/>
    <w:rsid w:val="007831A0"/>
    <w:rsid w:val="00783866"/>
    <w:rsid w:val="00783D22"/>
    <w:rsid w:val="00784416"/>
    <w:rsid w:val="0078778C"/>
    <w:rsid w:val="007904CF"/>
    <w:rsid w:val="00790C63"/>
    <w:rsid w:val="0079191A"/>
    <w:rsid w:val="00792134"/>
    <w:rsid w:val="00792580"/>
    <w:rsid w:val="00794120"/>
    <w:rsid w:val="00795395"/>
    <w:rsid w:val="00796200"/>
    <w:rsid w:val="00796DC4"/>
    <w:rsid w:val="00797426"/>
    <w:rsid w:val="007A026B"/>
    <w:rsid w:val="007A0ECB"/>
    <w:rsid w:val="007A1811"/>
    <w:rsid w:val="007A2011"/>
    <w:rsid w:val="007A21A4"/>
    <w:rsid w:val="007A5668"/>
    <w:rsid w:val="007A574F"/>
    <w:rsid w:val="007A5BA2"/>
    <w:rsid w:val="007A608A"/>
    <w:rsid w:val="007A712C"/>
    <w:rsid w:val="007A7A89"/>
    <w:rsid w:val="007A7D1D"/>
    <w:rsid w:val="007B090B"/>
    <w:rsid w:val="007B0E37"/>
    <w:rsid w:val="007B280A"/>
    <w:rsid w:val="007B3351"/>
    <w:rsid w:val="007B3B74"/>
    <w:rsid w:val="007B41AB"/>
    <w:rsid w:val="007B4C84"/>
    <w:rsid w:val="007B4F7A"/>
    <w:rsid w:val="007B6035"/>
    <w:rsid w:val="007B69BB"/>
    <w:rsid w:val="007B6B69"/>
    <w:rsid w:val="007B7172"/>
    <w:rsid w:val="007C07C2"/>
    <w:rsid w:val="007C179D"/>
    <w:rsid w:val="007C2A10"/>
    <w:rsid w:val="007C406B"/>
    <w:rsid w:val="007C487B"/>
    <w:rsid w:val="007C52C0"/>
    <w:rsid w:val="007C5485"/>
    <w:rsid w:val="007C5B0F"/>
    <w:rsid w:val="007C6F69"/>
    <w:rsid w:val="007C7698"/>
    <w:rsid w:val="007D2924"/>
    <w:rsid w:val="007D3037"/>
    <w:rsid w:val="007D3FFE"/>
    <w:rsid w:val="007D500C"/>
    <w:rsid w:val="007D6328"/>
    <w:rsid w:val="007D66AF"/>
    <w:rsid w:val="007D7D30"/>
    <w:rsid w:val="007E12EE"/>
    <w:rsid w:val="007E15A4"/>
    <w:rsid w:val="007E1F08"/>
    <w:rsid w:val="007E22A6"/>
    <w:rsid w:val="007E238E"/>
    <w:rsid w:val="007E23BA"/>
    <w:rsid w:val="007E24B9"/>
    <w:rsid w:val="007E2652"/>
    <w:rsid w:val="007E41CE"/>
    <w:rsid w:val="007E513F"/>
    <w:rsid w:val="007E55B5"/>
    <w:rsid w:val="007E5C58"/>
    <w:rsid w:val="007E63EA"/>
    <w:rsid w:val="007E6D65"/>
    <w:rsid w:val="007E7192"/>
    <w:rsid w:val="007F0DBC"/>
    <w:rsid w:val="007F1075"/>
    <w:rsid w:val="007F2493"/>
    <w:rsid w:val="007F2E62"/>
    <w:rsid w:val="007F3F5D"/>
    <w:rsid w:val="007F402E"/>
    <w:rsid w:val="007F4B63"/>
    <w:rsid w:val="007F5238"/>
    <w:rsid w:val="007F58F4"/>
    <w:rsid w:val="007F5DEA"/>
    <w:rsid w:val="007F5FD8"/>
    <w:rsid w:val="007F6264"/>
    <w:rsid w:val="007F6274"/>
    <w:rsid w:val="007F6C23"/>
    <w:rsid w:val="007F7777"/>
    <w:rsid w:val="008005AC"/>
    <w:rsid w:val="00801BF9"/>
    <w:rsid w:val="00801D9B"/>
    <w:rsid w:val="008029CC"/>
    <w:rsid w:val="008041F5"/>
    <w:rsid w:val="008042E3"/>
    <w:rsid w:val="00804A84"/>
    <w:rsid w:val="00804BBE"/>
    <w:rsid w:val="00804EEA"/>
    <w:rsid w:val="008058D5"/>
    <w:rsid w:val="008062D3"/>
    <w:rsid w:val="00807C34"/>
    <w:rsid w:val="00807CC7"/>
    <w:rsid w:val="008105EF"/>
    <w:rsid w:val="00810941"/>
    <w:rsid w:val="00810FE4"/>
    <w:rsid w:val="0081119D"/>
    <w:rsid w:val="00811EA7"/>
    <w:rsid w:val="00813640"/>
    <w:rsid w:val="00813CDA"/>
    <w:rsid w:val="00813F24"/>
    <w:rsid w:val="00814036"/>
    <w:rsid w:val="00814E96"/>
    <w:rsid w:val="0081551C"/>
    <w:rsid w:val="008167B0"/>
    <w:rsid w:val="0081706C"/>
    <w:rsid w:val="008177CF"/>
    <w:rsid w:val="00817D5D"/>
    <w:rsid w:val="0082086F"/>
    <w:rsid w:val="00821E07"/>
    <w:rsid w:val="0082202B"/>
    <w:rsid w:val="00822040"/>
    <w:rsid w:val="0082348F"/>
    <w:rsid w:val="0082389E"/>
    <w:rsid w:val="00823C8A"/>
    <w:rsid w:val="00823D3A"/>
    <w:rsid w:val="008250E9"/>
    <w:rsid w:val="00825661"/>
    <w:rsid w:val="00825F81"/>
    <w:rsid w:val="00825FFB"/>
    <w:rsid w:val="00826629"/>
    <w:rsid w:val="00826B74"/>
    <w:rsid w:val="00827101"/>
    <w:rsid w:val="00827541"/>
    <w:rsid w:val="00827B6C"/>
    <w:rsid w:val="00827F6D"/>
    <w:rsid w:val="00830177"/>
    <w:rsid w:val="008308B4"/>
    <w:rsid w:val="00831142"/>
    <w:rsid w:val="0083344B"/>
    <w:rsid w:val="00834422"/>
    <w:rsid w:val="00834EF1"/>
    <w:rsid w:val="00835476"/>
    <w:rsid w:val="008354F7"/>
    <w:rsid w:val="00836480"/>
    <w:rsid w:val="00836A86"/>
    <w:rsid w:val="008372C8"/>
    <w:rsid w:val="0083756E"/>
    <w:rsid w:val="00842324"/>
    <w:rsid w:val="00843DF4"/>
    <w:rsid w:val="00843E00"/>
    <w:rsid w:val="00844850"/>
    <w:rsid w:val="008450CC"/>
    <w:rsid w:val="008454EE"/>
    <w:rsid w:val="00845823"/>
    <w:rsid w:val="0084673E"/>
    <w:rsid w:val="00847167"/>
    <w:rsid w:val="008474BC"/>
    <w:rsid w:val="008501FE"/>
    <w:rsid w:val="00850B9B"/>
    <w:rsid w:val="008511A0"/>
    <w:rsid w:val="008511AE"/>
    <w:rsid w:val="00852305"/>
    <w:rsid w:val="008534FF"/>
    <w:rsid w:val="00854460"/>
    <w:rsid w:val="00854C64"/>
    <w:rsid w:val="008552CF"/>
    <w:rsid w:val="0085570C"/>
    <w:rsid w:val="0085597B"/>
    <w:rsid w:val="00855C17"/>
    <w:rsid w:val="008569FA"/>
    <w:rsid w:val="00856CF2"/>
    <w:rsid w:val="00856EED"/>
    <w:rsid w:val="00856FEA"/>
    <w:rsid w:val="00857D61"/>
    <w:rsid w:val="00857DF9"/>
    <w:rsid w:val="00857EDE"/>
    <w:rsid w:val="008600CB"/>
    <w:rsid w:val="008600ED"/>
    <w:rsid w:val="00860AE8"/>
    <w:rsid w:val="0086109B"/>
    <w:rsid w:val="008613FC"/>
    <w:rsid w:val="00862A9F"/>
    <w:rsid w:val="00864206"/>
    <w:rsid w:val="00864AB6"/>
    <w:rsid w:val="00864F1F"/>
    <w:rsid w:val="008654A8"/>
    <w:rsid w:val="0086666F"/>
    <w:rsid w:val="00866ED1"/>
    <w:rsid w:val="008679FA"/>
    <w:rsid w:val="00871CB7"/>
    <w:rsid w:val="00872039"/>
    <w:rsid w:val="00872C56"/>
    <w:rsid w:val="00873C1D"/>
    <w:rsid w:val="008743DE"/>
    <w:rsid w:val="008756B9"/>
    <w:rsid w:val="00876F22"/>
    <w:rsid w:val="008800CE"/>
    <w:rsid w:val="008806EE"/>
    <w:rsid w:val="00880861"/>
    <w:rsid w:val="008818F2"/>
    <w:rsid w:val="00882CE8"/>
    <w:rsid w:val="0088333D"/>
    <w:rsid w:val="00883B7F"/>
    <w:rsid w:val="008840E4"/>
    <w:rsid w:val="00884F45"/>
    <w:rsid w:val="00886200"/>
    <w:rsid w:val="008865CE"/>
    <w:rsid w:val="00886635"/>
    <w:rsid w:val="008872D5"/>
    <w:rsid w:val="00887B38"/>
    <w:rsid w:val="00887CF0"/>
    <w:rsid w:val="00890AD9"/>
    <w:rsid w:val="008917C4"/>
    <w:rsid w:val="00891912"/>
    <w:rsid w:val="00894205"/>
    <w:rsid w:val="0089530A"/>
    <w:rsid w:val="0089741F"/>
    <w:rsid w:val="00897B16"/>
    <w:rsid w:val="008A059F"/>
    <w:rsid w:val="008A1A98"/>
    <w:rsid w:val="008A1C1D"/>
    <w:rsid w:val="008A1C47"/>
    <w:rsid w:val="008A1CF8"/>
    <w:rsid w:val="008A1E6B"/>
    <w:rsid w:val="008A1FA6"/>
    <w:rsid w:val="008A21AD"/>
    <w:rsid w:val="008A24E1"/>
    <w:rsid w:val="008A2CED"/>
    <w:rsid w:val="008A2EDC"/>
    <w:rsid w:val="008A4608"/>
    <w:rsid w:val="008A52C9"/>
    <w:rsid w:val="008A53F3"/>
    <w:rsid w:val="008A5CAB"/>
    <w:rsid w:val="008A60F8"/>
    <w:rsid w:val="008A64E3"/>
    <w:rsid w:val="008A6CD2"/>
    <w:rsid w:val="008A7121"/>
    <w:rsid w:val="008B0019"/>
    <w:rsid w:val="008B002B"/>
    <w:rsid w:val="008B02D8"/>
    <w:rsid w:val="008B13DD"/>
    <w:rsid w:val="008B1470"/>
    <w:rsid w:val="008B165B"/>
    <w:rsid w:val="008B2F63"/>
    <w:rsid w:val="008B35D8"/>
    <w:rsid w:val="008B3A1C"/>
    <w:rsid w:val="008B59AD"/>
    <w:rsid w:val="008B7BC4"/>
    <w:rsid w:val="008B7D5A"/>
    <w:rsid w:val="008B7EE2"/>
    <w:rsid w:val="008C055A"/>
    <w:rsid w:val="008C0A9C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49D2"/>
    <w:rsid w:val="008C5EBC"/>
    <w:rsid w:val="008C70E9"/>
    <w:rsid w:val="008C712D"/>
    <w:rsid w:val="008D0BB7"/>
    <w:rsid w:val="008D18B0"/>
    <w:rsid w:val="008D1F94"/>
    <w:rsid w:val="008D1FEB"/>
    <w:rsid w:val="008D2316"/>
    <w:rsid w:val="008D2867"/>
    <w:rsid w:val="008D2DE5"/>
    <w:rsid w:val="008D32A3"/>
    <w:rsid w:val="008D3A30"/>
    <w:rsid w:val="008D41B7"/>
    <w:rsid w:val="008D4837"/>
    <w:rsid w:val="008D536A"/>
    <w:rsid w:val="008D5477"/>
    <w:rsid w:val="008D5A40"/>
    <w:rsid w:val="008D6616"/>
    <w:rsid w:val="008D70C3"/>
    <w:rsid w:val="008D79CD"/>
    <w:rsid w:val="008E026A"/>
    <w:rsid w:val="008E03DE"/>
    <w:rsid w:val="008E1CBA"/>
    <w:rsid w:val="008E1CFD"/>
    <w:rsid w:val="008E2949"/>
    <w:rsid w:val="008E4890"/>
    <w:rsid w:val="008E5625"/>
    <w:rsid w:val="008E5DBC"/>
    <w:rsid w:val="008E6D19"/>
    <w:rsid w:val="008E6D77"/>
    <w:rsid w:val="008E6F0F"/>
    <w:rsid w:val="008E7B0E"/>
    <w:rsid w:val="008F1086"/>
    <w:rsid w:val="008F2A3E"/>
    <w:rsid w:val="008F2FC5"/>
    <w:rsid w:val="008F3657"/>
    <w:rsid w:val="008F3999"/>
    <w:rsid w:val="008F3F67"/>
    <w:rsid w:val="008F3F6B"/>
    <w:rsid w:val="008F40B6"/>
    <w:rsid w:val="008F45D8"/>
    <w:rsid w:val="008F4761"/>
    <w:rsid w:val="008F527A"/>
    <w:rsid w:val="008F577F"/>
    <w:rsid w:val="008F5FD0"/>
    <w:rsid w:val="008F644A"/>
    <w:rsid w:val="008F75FA"/>
    <w:rsid w:val="00900697"/>
    <w:rsid w:val="009007DA"/>
    <w:rsid w:val="00901125"/>
    <w:rsid w:val="00901172"/>
    <w:rsid w:val="0090197C"/>
    <w:rsid w:val="00901FA3"/>
    <w:rsid w:val="009035F3"/>
    <w:rsid w:val="00903DBB"/>
    <w:rsid w:val="00903EA0"/>
    <w:rsid w:val="0090609F"/>
    <w:rsid w:val="009070C0"/>
    <w:rsid w:val="0090795D"/>
    <w:rsid w:val="009101AD"/>
    <w:rsid w:val="00910BCF"/>
    <w:rsid w:val="009113C0"/>
    <w:rsid w:val="0091250E"/>
    <w:rsid w:val="00912C28"/>
    <w:rsid w:val="009155EC"/>
    <w:rsid w:val="0091599D"/>
    <w:rsid w:val="00915C4A"/>
    <w:rsid w:val="00916057"/>
    <w:rsid w:val="00916BB1"/>
    <w:rsid w:val="00920856"/>
    <w:rsid w:val="00921439"/>
    <w:rsid w:val="009215E3"/>
    <w:rsid w:val="00922071"/>
    <w:rsid w:val="00923893"/>
    <w:rsid w:val="009250F4"/>
    <w:rsid w:val="00926841"/>
    <w:rsid w:val="00927887"/>
    <w:rsid w:val="009301E9"/>
    <w:rsid w:val="00930E41"/>
    <w:rsid w:val="00930E46"/>
    <w:rsid w:val="0093176F"/>
    <w:rsid w:val="00931A56"/>
    <w:rsid w:val="00932055"/>
    <w:rsid w:val="009320A9"/>
    <w:rsid w:val="00932422"/>
    <w:rsid w:val="0093246A"/>
    <w:rsid w:val="00932E9B"/>
    <w:rsid w:val="009331D1"/>
    <w:rsid w:val="00934A26"/>
    <w:rsid w:val="009374C3"/>
    <w:rsid w:val="00941540"/>
    <w:rsid w:val="009420AE"/>
    <w:rsid w:val="009428A8"/>
    <w:rsid w:val="00943C9D"/>
    <w:rsid w:val="00944D45"/>
    <w:rsid w:val="00944E10"/>
    <w:rsid w:val="009453CC"/>
    <w:rsid w:val="00945429"/>
    <w:rsid w:val="009461F1"/>
    <w:rsid w:val="00947CA0"/>
    <w:rsid w:val="00951828"/>
    <w:rsid w:val="0095274A"/>
    <w:rsid w:val="009529E8"/>
    <w:rsid w:val="00952B83"/>
    <w:rsid w:val="0095449E"/>
    <w:rsid w:val="00954E2A"/>
    <w:rsid w:val="009578FF"/>
    <w:rsid w:val="00957A65"/>
    <w:rsid w:val="009603E6"/>
    <w:rsid w:val="009605E8"/>
    <w:rsid w:val="00961DBC"/>
    <w:rsid w:val="00961EDF"/>
    <w:rsid w:val="009628D2"/>
    <w:rsid w:val="00963EFD"/>
    <w:rsid w:val="00963FF6"/>
    <w:rsid w:val="0096429C"/>
    <w:rsid w:val="00966C79"/>
    <w:rsid w:val="0096727C"/>
    <w:rsid w:val="00967EB8"/>
    <w:rsid w:val="009715E6"/>
    <w:rsid w:val="00971A61"/>
    <w:rsid w:val="00972169"/>
    <w:rsid w:val="00973A16"/>
    <w:rsid w:val="0097479B"/>
    <w:rsid w:val="00975891"/>
    <w:rsid w:val="00975F07"/>
    <w:rsid w:val="009767B5"/>
    <w:rsid w:val="0097709A"/>
    <w:rsid w:val="00977109"/>
    <w:rsid w:val="00977361"/>
    <w:rsid w:val="00977742"/>
    <w:rsid w:val="00977C47"/>
    <w:rsid w:val="0098022D"/>
    <w:rsid w:val="00980496"/>
    <w:rsid w:val="00980CBF"/>
    <w:rsid w:val="00981013"/>
    <w:rsid w:val="0098167C"/>
    <w:rsid w:val="009819E5"/>
    <w:rsid w:val="00981E8C"/>
    <w:rsid w:val="00982059"/>
    <w:rsid w:val="009827EB"/>
    <w:rsid w:val="0098363A"/>
    <w:rsid w:val="00983E10"/>
    <w:rsid w:val="009851E5"/>
    <w:rsid w:val="009857E7"/>
    <w:rsid w:val="00985806"/>
    <w:rsid w:val="00985B38"/>
    <w:rsid w:val="00985BA9"/>
    <w:rsid w:val="009869E9"/>
    <w:rsid w:val="00986ABA"/>
    <w:rsid w:val="009870C8"/>
    <w:rsid w:val="00987425"/>
    <w:rsid w:val="00987998"/>
    <w:rsid w:val="00990AA8"/>
    <w:rsid w:val="009919F4"/>
    <w:rsid w:val="00991B3F"/>
    <w:rsid w:val="00991D28"/>
    <w:rsid w:val="009924AA"/>
    <w:rsid w:val="009949E3"/>
    <w:rsid w:val="00994F9A"/>
    <w:rsid w:val="0099550D"/>
    <w:rsid w:val="00996402"/>
    <w:rsid w:val="00996563"/>
    <w:rsid w:val="00996FAB"/>
    <w:rsid w:val="00997530"/>
    <w:rsid w:val="00997563"/>
    <w:rsid w:val="009A0DFA"/>
    <w:rsid w:val="009A21C6"/>
    <w:rsid w:val="009A2CFA"/>
    <w:rsid w:val="009A4CC7"/>
    <w:rsid w:val="009A5BE4"/>
    <w:rsid w:val="009A5D1F"/>
    <w:rsid w:val="009A68F0"/>
    <w:rsid w:val="009A7E31"/>
    <w:rsid w:val="009B0B20"/>
    <w:rsid w:val="009B1B40"/>
    <w:rsid w:val="009B2D51"/>
    <w:rsid w:val="009B2E1C"/>
    <w:rsid w:val="009B37F4"/>
    <w:rsid w:val="009B4162"/>
    <w:rsid w:val="009B5429"/>
    <w:rsid w:val="009B59A1"/>
    <w:rsid w:val="009B5EAC"/>
    <w:rsid w:val="009B5F06"/>
    <w:rsid w:val="009B71EE"/>
    <w:rsid w:val="009B798A"/>
    <w:rsid w:val="009B7C83"/>
    <w:rsid w:val="009C1193"/>
    <w:rsid w:val="009C1935"/>
    <w:rsid w:val="009C25F9"/>
    <w:rsid w:val="009C31CE"/>
    <w:rsid w:val="009C34BA"/>
    <w:rsid w:val="009C3BD5"/>
    <w:rsid w:val="009C3D4F"/>
    <w:rsid w:val="009C495C"/>
    <w:rsid w:val="009C5276"/>
    <w:rsid w:val="009C6562"/>
    <w:rsid w:val="009C7559"/>
    <w:rsid w:val="009D005C"/>
    <w:rsid w:val="009D0E9C"/>
    <w:rsid w:val="009D1627"/>
    <w:rsid w:val="009D1FCD"/>
    <w:rsid w:val="009D2334"/>
    <w:rsid w:val="009D3316"/>
    <w:rsid w:val="009D343A"/>
    <w:rsid w:val="009D43AF"/>
    <w:rsid w:val="009D46E5"/>
    <w:rsid w:val="009D6414"/>
    <w:rsid w:val="009D68E0"/>
    <w:rsid w:val="009D6F0E"/>
    <w:rsid w:val="009D70E4"/>
    <w:rsid w:val="009D7240"/>
    <w:rsid w:val="009D7898"/>
    <w:rsid w:val="009D7C45"/>
    <w:rsid w:val="009E1FDB"/>
    <w:rsid w:val="009E2415"/>
    <w:rsid w:val="009E2B1E"/>
    <w:rsid w:val="009E35F6"/>
    <w:rsid w:val="009E4A41"/>
    <w:rsid w:val="009E5B63"/>
    <w:rsid w:val="009E737E"/>
    <w:rsid w:val="009E77D4"/>
    <w:rsid w:val="009F15F6"/>
    <w:rsid w:val="009F19B3"/>
    <w:rsid w:val="009F3842"/>
    <w:rsid w:val="009F48A3"/>
    <w:rsid w:val="009F5312"/>
    <w:rsid w:val="009F54F9"/>
    <w:rsid w:val="009F6882"/>
    <w:rsid w:val="009F7141"/>
    <w:rsid w:val="009F792D"/>
    <w:rsid w:val="009F7DA5"/>
    <w:rsid w:val="009F7FE5"/>
    <w:rsid w:val="00A01638"/>
    <w:rsid w:val="00A020F1"/>
    <w:rsid w:val="00A02A77"/>
    <w:rsid w:val="00A03032"/>
    <w:rsid w:val="00A0334E"/>
    <w:rsid w:val="00A03D04"/>
    <w:rsid w:val="00A054FB"/>
    <w:rsid w:val="00A05691"/>
    <w:rsid w:val="00A05CEA"/>
    <w:rsid w:val="00A05FA8"/>
    <w:rsid w:val="00A11918"/>
    <w:rsid w:val="00A127C1"/>
    <w:rsid w:val="00A13873"/>
    <w:rsid w:val="00A1437D"/>
    <w:rsid w:val="00A16566"/>
    <w:rsid w:val="00A20550"/>
    <w:rsid w:val="00A21871"/>
    <w:rsid w:val="00A21979"/>
    <w:rsid w:val="00A223CD"/>
    <w:rsid w:val="00A22AE9"/>
    <w:rsid w:val="00A22ED6"/>
    <w:rsid w:val="00A231CA"/>
    <w:rsid w:val="00A2339E"/>
    <w:rsid w:val="00A23448"/>
    <w:rsid w:val="00A23744"/>
    <w:rsid w:val="00A23F5F"/>
    <w:rsid w:val="00A252E9"/>
    <w:rsid w:val="00A2592B"/>
    <w:rsid w:val="00A25C79"/>
    <w:rsid w:val="00A26384"/>
    <w:rsid w:val="00A27C2B"/>
    <w:rsid w:val="00A30AF7"/>
    <w:rsid w:val="00A311DB"/>
    <w:rsid w:val="00A3359C"/>
    <w:rsid w:val="00A3372A"/>
    <w:rsid w:val="00A33E2B"/>
    <w:rsid w:val="00A342D9"/>
    <w:rsid w:val="00A34815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7B6"/>
    <w:rsid w:val="00A40C8E"/>
    <w:rsid w:val="00A420B4"/>
    <w:rsid w:val="00A42381"/>
    <w:rsid w:val="00A427A9"/>
    <w:rsid w:val="00A42FD4"/>
    <w:rsid w:val="00A43D31"/>
    <w:rsid w:val="00A440C2"/>
    <w:rsid w:val="00A4551C"/>
    <w:rsid w:val="00A45954"/>
    <w:rsid w:val="00A46761"/>
    <w:rsid w:val="00A46764"/>
    <w:rsid w:val="00A4712F"/>
    <w:rsid w:val="00A47942"/>
    <w:rsid w:val="00A509E9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57232"/>
    <w:rsid w:val="00A6021A"/>
    <w:rsid w:val="00A609F4"/>
    <w:rsid w:val="00A61AC0"/>
    <w:rsid w:val="00A6272D"/>
    <w:rsid w:val="00A631D0"/>
    <w:rsid w:val="00A63245"/>
    <w:rsid w:val="00A6352F"/>
    <w:rsid w:val="00A642D8"/>
    <w:rsid w:val="00A6467A"/>
    <w:rsid w:val="00A64792"/>
    <w:rsid w:val="00A652DA"/>
    <w:rsid w:val="00A65525"/>
    <w:rsid w:val="00A657D4"/>
    <w:rsid w:val="00A67C48"/>
    <w:rsid w:val="00A70649"/>
    <w:rsid w:val="00A706EB"/>
    <w:rsid w:val="00A70C4A"/>
    <w:rsid w:val="00A70DCD"/>
    <w:rsid w:val="00A712F6"/>
    <w:rsid w:val="00A7184A"/>
    <w:rsid w:val="00A71A36"/>
    <w:rsid w:val="00A74094"/>
    <w:rsid w:val="00A74382"/>
    <w:rsid w:val="00A7508B"/>
    <w:rsid w:val="00A750FA"/>
    <w:rsid w:val="00A7562C"/>
    <w:rsid w:val="00A75CAD"/>
    <w:rsid w:val="00A7645F"/>
    <w:rsid w:val="00A8026D"/>
    <w:rsid w:val="00A813B3"/>
    <w:rsid w:val="00A81D9A"/>
    <w:rsid w:val="00A81F0D"/>
    <w:rsid w:val="00A822C8"/>
    <w:rsid w:val="00A82E89"/>
    <w:rsid w:val="00A82F80"/>
    <w:rsid w:val="00A831EC"/>
    <w:rsid w:val="00A839E1"/>
    <w:rsid w:val="00A84C14"/>
    <w:rsid w:val="00A86226"/>
    <w:rsid w:val="00A86719"/>
    <w:rsid w:val="00A86EE9"/>
    <w:rsid w:val="00A86F72"/>
    <w:rsid w:val="00A875B4"/>
    <w:rsid w:val="00A906C1"/>
    <w:rsid w:val="00A90CA0"/>
    <w:rsid w:val="00A9100E"/>
    <w:rsid w:val="00A912F2"/>
    <w:rsid w:val="00A920B7"/>
    <w:rsid w:val="00A92F09"/>
    <w:rsid w:val="00A94F14"/>
    <w:rsid w:val="00A952C6"/>
    <w:rsid w:val="00A95781"/>
    <w:rsid w:val="00A960E0"/>
    <w:rsid w:val="00A96238"/>
    <w:rsid w:val="00A9669A"/>
    <w:rsid w:val="00A967F9"/>
    <w:rsid w:val="00A96E07"/>
    <w:rsid w:val="00A971BC"/>
    <w:rsid w:val="00A9754E"/>
    <w:rsid w:val="00A978FE"/>
    <w:rsid w:val="00AA02DA"/>
    <w:rsid w:val="00AA1813"/>
    <w:rsid w:val="00AA1FE9"/>
    <w:rsid w:val="00AA210D"/>
    <w:rsid w:val="00AA303D"/>
    <w:rsid w:val="00AA4235"/>
    <w:rsid w:val="00AA5267"/>
    <w:rsid w:val="00AA5317"/>
    <w:rsid w:val="00AA5606"/>
    <w:rsid w:val="00AA64E0"/>
    <w:rsid w:val="00AA6A90"/>
    <w:rsid w:val="00AA6C89"/>
    <w:rsid w:val="00AA7997"/>
    <w:rsid w:val="00AB0732"/>
    <w:rsid w:val="00AB0752"/>
    <w:rsid w:val="00AB171E"/>
    <w:rsid w:val="00AB18F9"/>
    <w:rsid w:val="00AB221F"/>
    <w:rsid w:val="00AB2286"/>
    <w:rsid w:val="00AB2476"/>
    <w:rsid w:val="00AB3286"/>
    <w:rsid w:val="00AB4B22"/>
    <w:rsid w:val="00AB4E7A"/>
    <w:rsid w:val="00AB564F"/>
    <w:rsid w:val="00AB5F56"/>
    <w:rsid w:val="00AB65FA"/>
    <w:rsid w:val="00AB65FD"/>
    <w:rsid w:val="00AB68AC"/>
    <w:rsid w:val="00AB760A"/>
    <w:rsid w:val="00AC0919"/>
    <w:rsid w:val="00AC12E0"/>
    <w:rsid w:val="00AC22D2"/>
    <w:rsid w:val="00AC2589"/>
    <w:rsid w:val="00AC3270"/>
    <w:rsid w:val="00AC3813"/>
    <w:rsid w:val="00AC45D7"/>
    <w:rsid w:val="00AC4A24"/>
    <w:rsid w:val="00AC53ED"/>
    <w:rsid w:val="00AC7D79"/>
    <w:rsid w:val="00AD0359"/>
    <w:rsid w:val="00AD1335"/>
    <w:rsid w:val="00AD1BE4"/>
    <w:rsid w:val="00AD2D78"/>
    <w:rsid w:val="00AD2E3E"/>
    <w:rsid w:val="00AD2FEE"/>
    <w:rsid w:val="00AD45EA"/>
    <w:rsid w:val="00AD4CC3"/>
    <w:rsid w:val="00AD4DEF"/>
    <w:rsid w:val="00AD5AE3"/>
    <w:rsid w:val="00AD60F5"/>
    <w:rsid w:val="00AD6948"/>
    <w:rsid w:val="00AD6C10"/>
    <w:rsid w:val="00AD74BF"/>
    <w:rsid w:val="00AD7D30"/>
    <w:rsid w:val="00AE04EA"/>
    <w:rsid w:val="00AE06CF"/>
    <w:rsid w:val="00AE0BE7"/>
    <w:rsid w:val="00AE1496"/>
    <w:rsid w:val="00AE1646"/>
    <w:rsid w:val="00AE2056"/>
    <w:rsid w:val="00AE29CA"/>
    <w:rsid w:val="00AE309F"/>
    <w:rsid w:val="00AE4D94"/>
    <w:rsid w:val="00AE4F0E"/>
    <w:rsid w:val="00AE5BF2"/>
    <w:rsid w:val="00AE6734"/>
    <w:rsid w:val="00AE7041"/>
    <w:rsid w:val="00AE7205"/>
    <w:rsid w:val="00AE79C8"/>
    <w:rsid w:val="00AF1985"/>
    <w:rsid w:val="00AF203C"/>
    <w:rsid w:val="00AF3E8E"/>
    <w:rsid w:val="00AF3F69"/>
    <w:rsid w:val="00AF57E5"/>
    <w:rsid w:val="00AF6333"/>
    <w:rsid w:val="00AF6F70"/>
    <w:rsid w:val="00AF7062"/>
    <w:rsid w:val="00AF718F"/>
    <w:rsid w:val="00B017EA"/>
    <w:rsid w:val="00B036CB"/>
    <w:rsid w:val="00B0395A"/>
    <w:rsid w:val="00B03FE7"/>
    <w:rsid w:val="00B0540A"/>
    <w:rsid w:val="00B059FC"/>
    <w:rsid w:val="00B0689F"/>
    <w:rsid w:val="00B068E7"/>
    <w:rsid w:val="00B10BB9"/>
    <w:rsid w:val="00B10D11"/>
    <w:rsid w:val="00B116C0"/>
    <w:rsid w:val="00B117EF"/>
    <w:rsid w:val="00B1192B"/>
    <w:rsid w:val="00B12207"/>
    <w:rsid w:val="00B12641"/>
    <w:rsid w:val="00B139F6"/>
    <w:rsid w:val="00B141CE"/>
    <w:rsid w:val="00B14B74"/>
    <w:rsid w:val="00B14E94"/>
    <w:rsid w:val="00B15CCF"/>
    <w:rsid w:val="00B16C97"/>
    <w:rsid w:val="00B2044D"/>
    <w:rsid w:val="00B204D8"/>
    <w:rsid w:val="00B205C2"/>
    <w:rsid w:val="00B2180E"/>
    <w:rsid w:val="00B225B7"/>
    <w:rsid w:val="00B239A1"/>
    <w:rsid w:val="00B24D0A"/>
    <w:rsid w:val="00B25982"/>
    <w:rsid w:val="00B27082"/>
    <w:rsid w:val="00B27F2E"/>
    <w:rsid w:val="00B3006B"/>
    <w:rsid w:val="00B3149A"/>
    <w:rsid w:val="00B319DF"/>
    <w:rsid w:val="00B31EF9"/>
    <w:rsid w:val="00B32918"/>
    <w:rsid w:val="00B340FF"/>
    <w:rsid w:val="00B35275"/>
    <w:rsid w:val="00B3549E"/>
    <w:rsid w:val="00B35F68"/>
    <w:rsid w:val="00B36C38"/>
    <w:rsid w:val="00B36EDA"/>
    <w:rsid w:val="00B37735"/>
    <w:rsid w:val="00B40AB0"/>
    <w:rsid w:val="00B41170"/>
    <w:rsid w:val="00B42658"/>
    <w:rsid w:val="00B42762"/>
    <w:rsid w:val="00B42FDE"/>
    <w:rsid w:val="00B43E8A"/>
    <w:rsid w:val="00B44332"/>
    <w:rsid w:val="00B44481"/>
    <w:rsid w:val="00B4551F"/>
    <w:rsid w:val="00B45E30"/>
    <w:rsid w:val="00B46BA5"/>
    <w:rsid w:val="00B5071C"/>
    <w:rsid w:val="00B50DEB"/>
    <w:rsid w:val="00B510B3"/>
    <w:rsid w:val="00B51DFC"/>
    <w:rsid w:val="00B54F42"/>
    <w:rsid w:val="00B564E6"/>
    <w:rsid w:val="00B5650D"/>
    <w:rsid w:val="00B5771B"/>
    <w:rsid w:val="00B57CB4"/>
    <w:rsid w:val="00B57CEB"/>
    <w:rsid w:val="00B6029E"/>
    <w:rsid w:val="00B6110B"/>
    <w:rsid w:val="00B6145C"/>
    <w:rsid w:val="00B61636"/>
    <w:rsid w:val="00B62CC9"/>
    <w:rsid w:val="00B65D4E"/>
    <w:rsid w:val="00B65F58"/>
    <w:rsid w:val="00B66126"/>
    <w:rsid w:val="00B6782E"/>
    <w:rsid w:val="00B6794F"/>
    <w:rsid w:val="00B67B48"/>
    <w:rsid w:val="00B67CB2"/>
    <w:rsid w:val="00B702D5"/>
    <w:rsid w:val="00B7087A"/>
    <w:rsid w:val="00B70A29"/>
    <w:rsid w:val="00B718CD"/>
    <w:rsid w:val="00B71B40"/>
    <w:rsid w:val="00B71F7C"/>
    <w:rsid w:val="00B7237B"/>
    <w:rsid w:val="00B727BD"/>
    <w:rsid w:val="00B72EFD"/>
    <w:rsid w:val="00B73B9C"/>
    <w:rsid w:val="00B74A76"/>
    <w:rsid w:val="00B74BAC"/>
    <w:rsid w:val="00B7547E"/>
    <w:rsid w:val="00B75C3C"/>
    <w:rsid w:val="00B77C8E"/>
    <w:rsid w:val="00B77FB9"/>
    <w:rsid w:val="00B77FBF"/>
    <w:rsid w:val="00B8008B"/>
    <w:rsid w:val="00B83D14"/>
    <w:rsid w:val="00B84932"/>
    <w:rsid w:val="00B851DA"/>
    <w:rsid w:val="00B859EF"/>
    <w:rsid w:val="00B86D40"/>
    <w:rsid w:val="00B90004"/>
    <w:rsid w:val="00B905BC"/>
    <w:rsid w:val="00B913D6"/>
    <w:rsid w:val="00B91C48"/>
    <w:rsid w:val="00B91C83"/>
    <w:rsid w:val="00B91E81"/>
    <w:rsid w:val="00B92EA0"/>
    <w:rsid w:val="00B93457"/>
    <w:rsid w:val="00B93679"/>
    <w:rsid w:val="00B940A5"/>
    <w:rsid w:val="00B96572"/>
    <w:rsid w:val="00B9779C"/>
    <w:rsid w:val="00BA0836"/>
    <w:rsid w:val="00BA1687"/>
    <w:rsid w:val="00BA217A"/>
    <w:rsid w:val="00BA2658"/>
    <w:rsid w:val="00BA3355"/>
    <w:rsid w:val="00BA3735"/>
    <w:rsid w:val="00BA3871"/>
    <w:rsid w:val="00BA4249"/>
    <w:rsid w:val="00BA56BD"/>
    <w:rsid w:val="00BA6095"/>
    <w:rsid w:val="00BA6982"/>
    <w:rsid w:val="00BA6D77"/>
    <w:rsid w:val="00BA70A9"/>
    <w:rsid w:val="00BA7EF3"/>
    <w:rsid w:val="00BB04CB"/>
    <w:rsid w:val="00BB0BB9"/>
    <w:rsid w:val="00BB15CF"/>
    <w:rsid w:val="00BB1D47"/>
    <w:rsid w:val="00BB1E11"/>
    <w:rsid w:val="00BB353E"/>
    <w:rsid w:val="00BB4A25"/>
    <w:rsid w:val="00BB5081"/>
    <w:rsid w:val="00BB5410"/>
    <w:rsid w:val="00BB6541"/>
    <w:rsid w:val="00BB6C36"/>
    <w:rsid w:val="00BB745E"/>
    <w:rsid w:val="00BB74E3"/>
    <w:rsid w:val="00BC0029"/>
    <w:rsid w:val="00BC20DF"/>
    <w:rsid w:val="00BC28B5"/>
    <w:rsid w:val="00BC3AF6"/>
    <w:rsid w:val="00BC44FE"/>
    <w:rsid w:val="00BC53FF"/>
    <w:rsid w:val="00BC5818"/>
    <w:rsid w:val="00BC6323"/>
    <w:rsid w:val="00BC697A"/>
    <w:rsid w:val="00BC73CE"/>
    <w:rsid w:val="00BD490E"/>
    <w:rsid w:val="00BD4B3E"/>
    <w:rsid w:val="00BD6136"/>
    <w:rsid w:val="00BD64D3"/>
    <w:rsid w:val="00BD699F"/>
    <w:rsid w:val="00BD7370"/>
    <w:rsid w:val="00BD7499"/>
    <w:rsid w:val="00BD75CA"/>
    <w:rsid w:val="00BE0DA6"/>
    <w:rsid w:val="00BE0E88"/>
    <w:rsid w:val="00BE154E"/>
    <w:rsid w:val="00BE26B2"/>
    <w:rsid w:val="00BE313F"/>
    <w:rsid w:val="00BE32CA"/>
    <w:rsid w:val="00BE340D"/>
    <w:rsid w:val="00BE4125"/>
    <w:rsid w:val="00BE42E4"/>
    <w:rsid w:val="00BE475D"/>
    <w:rsid w:val="00BE5144"/>
    <w:rsid w:val="00BE5E0E"/>
    <w:rsid w:val="00BE60FB"/>
    <w:rsid w:val="00BE753C"/>
    <w:rsid w:val="00BE7780"/>
    <w:rsid w:val="00BE7BB2"/>
    <w:rsid w:val="00BE7E54"/>
    <w:rsid w:val="00BF0ACF"/>
    <w:rsid w:val="00BF0F8F"/>
    <w:rsid w:val="00BF1217"/>
    <w:rsid w:val="00BF162F"/>
    <w:rsid w:val="00BF1C1F"/>
    <w:rsid w:val="00BF1DB3"/>
    <w:rsid w:val="00BF2980"/>
    <w:rsid w:val="00BF2D54"/>
    <w:rsid w:val="00BF47C7"/>
    <w:rsid w:val="00BF4B54"/>
    <w:rsid w:val="00BF586A"/>
    <w:rsid w:val="00BF5D4C"/>
    <w:rsid w:val="00BF6D8B"/>
    <w:rsid w:val="00BF70F1"/>
    <w:rsid w:val="00BF7221"/>
    <w:rsid w:val="00BF7BB0"/>
    <w:rsid w:val="00C00B26"/>
    <w:rsid w:val="00C012C8"/>
    <w:rsid w:val="00C0375F"/>
    <w:rsid w:val="00C04554"/>
    <w:rsid w:val="00C050AF"/>
    <w:rsid w:val="00C05478"/>
    <w:rsid w:val="00C0691B"/>
    <w:rsid w:val="00C06CDF"/>
    <w:rsid w:val="00C07945"/>
    <w:rsid w:val="00C079E0"/>
    <w:rsid w:val="00C10E4A"/>
    <w:rsid w:val="00C1140A"/>
    <w:rsid w:val="00C11524"/>
    <w:rsid w:val="00C132BC"/>
    <w:rsid w:val="00C13C61"/>
    <w:rsid w:val="00C15170"/>
    <w:rsid w:val="00C15942"/>
    <w:rsid w:val="00C16740"/>
    <w:rsid w:val="00C16DED"/>
    <w:rsid w:val="00C174F0"/>
    <w:rsid w:val="00C178F3"/>
    <w:rsid w:val="00C20540"/>
    <w:rsid w:val="00C2138B"/>
    <w:rsid w:val="00C21FF5"/>
    <w:rsid w:val="00C22294"/>
    <w:rsid w:val="00C23CBC"/>
    <w:rsid w:val="00C2752B"/>
    <w:rsid w:val="00C27859"/>
    <w:rsid w:val="00C27B61"/>
    <w:rsid w:val="00C30093"/>
    <w:rsid w:val="00C3067D"/>
    <w:rsid w:val="00C30D04"/>
    <w:rsid w:val="00C31110"/>
    <w:rsid w:val="00C317CD"/>
    <w:rsid w:val="00C31DCA"/>
    <w:rsid w:val="00C32FCE"/>
    <w:rsid w:val="00C33167"/>
    <w:rsid w:val="00C33874"/>
    <w:rsid w:val="00C33AC8"/>
    <w:rsid w:val="00C35001"/>
    <w:rsid w:val="00C36E8B"/>
    <w:rsid w:val="00C36F8A"/>
    <w:rsid w:val="00C370EC"/>
    <w:rsid w:val="00C40D16"/>
    <w:rsid w:val="00C41ACC"/>
    <w:rsid w:val="00C41B8A"/>
    <w:rsid w:val="00C41EC0"/>
    <w:rsid w:val="00C423C9"/>
    <w:rsid w:val="00C44727"/>
    <w:rsid w:val="00C45845"/>
    <w:rsid w:val="00C4658C"/>
    <w:rsid w:val="00C471A9"/>
    <w:rsid w:val="00C47589"/>
    <w:rsid w:val="00C47F96"/>
    <w:rsid w:val="00C504C9"/>
    <w:rsid w:val="00C508C7"/>
    <w:rsid w:val="00C50B69"/>
    <w:rsid w:val="00C512CC"/>
    <w:rsid w:val="00C51FBA"/>
    <w:rsid w:val="00C52CA7"/>
    <w:rsid w:val="00C52FDD"/>
    <w:rsid w:val="00C531E6"/>
    <w:rsid w:val="00C5337E"/>
    <w:rsid w:val="00C53D84"/>
    <w:rsid w:val="00C540CC"/>
    <w:rsid w:val="00C540EE"/>
    <w:rsid w:val="00C54129"/>
    <w:rsid w:val="00C544E8"/>
    <w:rsid w:val="00C56B13"/>
    <w:rsid w:val="00C577C6"/>
    <w:rsid w:val="00C622BE"/>
    <w:rsid w:val="00C625B6"/>
    <w:rsid w:val="00C627BF"/>
    <w:rsid w:val="00C62ABE"/>
    <w:rsid w:val="00C65632"/>
    <w:rsid w:val="00C662D5"/>
    <w:rsid w:val="00C66362"/>
    <w:rsid w:val="00C666AA"/>
    <w:rsid w:val="00C66BA2"/>
    <w:rsid w:val="00C66E64"/>
    <w:rsid w:val="00C72A48"/>
    <w:rsid w:val="00C73034"/>
    <w:rsid w:val="00C73134"/>
    <w:rsid w:val="00C73BCC"/>
    <w:rsid w:val="00C74EC0"/>
    <w:rsid w:val="00C754BC"/>
    <w:rsid w:val="00C760CE"/>
    <w:rsid w:val="00C760E7"/>
    <w:rsid w:val="00C76DC6"/>
    <w:rsid w:val="00C7707A"/>
    <w:rsid w:val="00C77EC8"/>
    <w:rsid w:val="00C800B1"/>
    <w:rsid w:val="00C8088A"/>
    <w:rsid w:val="00C80F31"/>
    <w:rsid w:val="00C81196"/>
    <w:rsid w:val="00C829C8"/>
    <w:rsid w:val="00C82E18"/>
    <w:rsid w:val="00C856A4"/>
    <w:rsid w:val="00C85905"/>
    <w:rsid w:val="00C85ADB"/>
    <w:rsid w:val="00C86851"/>
    <w:rsid w:val="00C87075"/>
    <w:rsid w:val="00C8777F"/>
    <w:rsid w:val="00C87DC8"/>
    <w:rsid w:val="00C87F54"/>
    <w:rsid w:val="00C90B84"/>
    <w:rsid w:val="00C9200F"/>
    <w:rsid w:val="00C925A4"/>
    <w:rsid w:val="00C92655"/>
    <w:rsid w:val="00C92D91"/>
    <w:rsid w:val="00C92F05"/>
    <w:rsid w:val="00C937DA"/>
    <w:rsid w:val="00C93B90"/>
    <w:rsid w:val="00C944EA"/>
    <w:rsid w:val="00C946DB"/>
    <w:rsid w:val="00C9517D"/>
    <w:rsid w:val="00C95E21"/>
    <w:rsid w:val="00C96AFE"/>
    <w:rsid w:val="00C97A07"/>
    <w:rsid w:val="00CA01AE"/>
    <w:rsid w:val="00CA085C"/>
    <w:rsid w:val="00CA10CC"/>
    <w:rsid w:val="00CA12F6"/>
    <w:rsid w:val="00CA1AED"/>
    <w:rsid w:val="00CA1B0A"/>
    <w:rsid w:val="00CA209C"/>
    <w:rsid w:val="00CA20EA"/>
    <w:rsid w:val="00CA226F"/>
    <w:rsid w:val="00CA2BDE"/>
    <w:rsid w:val="00CA2C8A"/>
    <w:rsid w:val="00CA2D47"/>
    <w:rsid w:val="00CA3AEB"/>
    <w:rsid w:val="00CA3EBE"/>
    <w:rsid w:val="00CA4DD7"/>
    <w:rsid w:val="00CA53DD"/>
    <w:rsid w:val="00CA5655"/>
    <w:rsid w:val="00CA595B"/>
    <w:rsid w:val="00CA5ECF"/>
    <w:rsid w:val="00CA6200"/>
    <w:rsid w:val="00CA7A8B"/>
    <w:rsid w:val="00CA7A9A"/>
    <w:rsid w:val="00CB0292"/>
    <w:rsid w:val="00CB03D5"/>
    <w:rsid w:val="00CB1844"/>
    <w:rsid w:val="00CB2C06"/>
    <w:rsid w:val="00CB3138"/>
    <w:rsid w:val="00CB3B2C"/>
    <w:rsid w:val="00CB42B6"/>
    <w:rsid w:val="00CB4809"/>
    <w:rsid w:val="00CB5528"/>
    <w:rsid w:val="00CB571C"/>
    <w:rsid w:val="00CB6E3B"/>
    <w:rsid w:val="00CB75BD"/>
    <w:rsid w:val="00CB7FA6"/>
    <w:rsid w:val="00CC045D"/>
    <w:rsid w:val="00CC0CA8"/>
    <w:rsid w:val="00CC14B7"/>
    <w:rsid w:val="00CC1AD7"/>
    <w:rsid w:val="00CC5596"/>
    <w:rsid w:val="00CC6B48"/>
    <w:rsid w:val="00CD0529"/>
    <w:rsid w:val="00CD07DD"/>
    <w:rsid w:val="00CD3F0A"/>
    <w:rsid w:val="00CD5AD4"/>
    <w:rsid w:val="00CD5E23"/>
    <w:rsid w:val="00CD68D8"/>
    <w:rsid w:val="00CD6C01"/>
    <w:rsid w:val="00CD6CC8"/>
    <w:rsid w:val="00CD6DBB"/>
    <w:rsid w:val="00CD6F40"/>
    <w:rsid w:val="00CD70B2"/>
    <w:rsid w:val="00CD73C9"/>
    <w:rsid w:val="00CD7560"/>
    <w:rsid w:val="00CE01AB"/>
    <w:rsid w:val="00CE03C5"/>
    <w:rsid w:val="00CE0583"/>
    <w:rsid w:val="00CE0F58"/>
    <w:rsid w:val="00CE11E0"/>
    <w:rsid w:val="00CE27ED"/>
    <w:rsid w:val="00CE2A2C"/>
    <w:rsid w:val="00CE35D3"/>
    <w:rsid w:val="00CE38AE"/>
    <w:rsid w:val="00CE402F"/>
    <w:rsid w:val="00CE48EC"/>
    <w:rsid w:val="00CE5C68"/>
    <w:rsid w:val="00CE6563"/>
    <w:rsid w:val="00CE750A"/>
    <w:rsid w:val="00CE7D28"/>
    <w:rsid w:val="00CF14B5"/>
    <w:rsid w:val="00CF1C52"/>
    <w:rsid w:val="00CF2347"/>
    <w:rsid w:val="00CF25D6"/>
    <w:rsid w:val="00CF32EB"/>
    <w:rsid w:val="00CF337E"/>
    <w:rsid w:val="00CF3818"/>
    <w:rsid w:val="00CF38F1"/>
    <w:rsid w:val="00CF3C97"/>
    <w:rsid w:val="00CF4F08"/>
    <w:rsid w:val="00CF54B8"/>
    <w:rsid w:val="00CF5F5A"/>
    <w:rsid w:val="00CF63F1"/>
    <w:rsid w:val="00CF7754"/>
    <w:rsid w:val="00CF7853"/>
    <w:rsid w:val="00CF78C3"/>
    <w:rsid w:val="00CF7FE4"/>
    <w:rsid w:val="00D0083D"/>
    <w:rsid w:val="00D00B44"/>
    <w:rsid w:val="00D00B5B"/>
    <w:rsid w:val="00D010A9"/>
    <w:rsid w:val="00D011A3"/>
    <w:rsid w:val="00D0145B"/>
    <w:rsid w:val="00D01BA4"/>
    <w:rsid w:val="00D024DD"/>
    <w:rsid w:val="00D027BA"/>
    <w:rsid w:val="00D02A7E"/>
    <w:rsid w:val="00D031CE"/>
    <w:rsid w:val="00D032A8"/>
    <w:rsid w:val="00D03C51"/>
    <w:rsid w:val="00D04E9F"/>
    <w:rsid w:val="00D07282"/>
    <w:rsid w:val="00D0747E"/>
    <w:rsid w:val="00D07DFD"/>
    <w:rsid w:val="00D07F87"/>
    <w:rsid w:val="00D100FF"/>
    <w:rsid w:val="00D10306"/>
    <w:rsid w:val="00D118BB"/>
    <w:rsid w:val="00D11B22"/>
    <w:rsid w:val="00D12BA6"/>
    <w:rsid w:val="00D12BE9"/>
    <w:rsid w:val="00D14393"/>
    <w:rsid w:val="00D1511E"/>
    <w:rsid w:val="00D15EF5"/>
    <w:rsid w:val="00D1665B"/>
    <w:rsid w:val="00D1712D"/>
    <w:rsid w:val="00D17D13"/>
    <w:rsid w:val="00D21604"/>
    <w:rsid w:val="00D22F31"/>
    <w:rsid w:val="00D22F40"/>
    <w:rsid w:val="00D23477"/>
    <w:rsid w:val="00D239E3"/>
    <w:rsid w:val="00D246ED"/>
    <w:rsid w:val="00D24D89"/>
    <w:rsid w:val="00D24F1F"/>
    <w:rsid w:val="00D25009"/>
    <w:rsid w:val="00D25F2A"/>
    <w:rsid w:val="00D2725B"/>
    <w:rsid w:val="00D27FCF"/>
    <w:rsid w:val="00D30130"/>
    <w:rsid w:val="00D308CB"/>
    <w:rsid w:val="00D315DB"/>
    <w:rsid w:val="00D318A4"/>
    <w:rsid w:val="00D34490"/>
    <w:rsid w:val="00D34DB7"/>
    <w:rsid w:val="00D35248"/>
    <w:rsid w:val="00D37A53"/>
    <w:rsid w:val="00D40FD0"/>
    <w:rsid w:val="00D42779"/>
    <w:rsid w:val="00D43F66"/>
    <w:rsid w:val="00D456FA"/>
    <w:rsid w:val="00D458D5"/>
    <w:rsid w:val="00D5099D"/>
    <w:rsid w:val="00D51071"/>
    <w:rsid w:val="00D51266"/>
    <w:rsid w:val="00D5149D"/>
    <w:rsid w:val="00D51D1C"/>
    <w:rsid w:val="00D525DA"/>
    <w:rsid w:val="00D52663"/>
    <w:rsid w:val="00D53D40"/>
    <w:rsid w:val="00D540CB"/>
    <w:rsid w:val="00D542F4"/>
    <w:rsid w:val="00D5460E"/>
    <w:rsid w:val="00D54713"/>
    <w:rsid w:val="00D55CFF"/>
    <w:rsid w:val="00D56354"/>
    <w:rsid w:val="00D61B2A"/>
    <w:rsid w:val="00D634CC"/>
    <w:rsid w:val="00D6473F"/>
    <w:rsid w:val="00D64A4A"/>
    <w:rsid w:val="00D64FB3"/>
    <w:rsid w:val="00D65B23"/>
    <w:rsid w:val="00D65C41"/>
    <w:rsid w:val="00D66132"/>
    <w:rsid w:val="00D666BC"/>
    <w:rsid w:val="00D6693B"/>
    <w:rsid w:val="00D66F42"/>
    <w:rsid w:val="00D67AF4"/>
    <w:rsid w:val="00D67DF7"/>
    <w:rsid w:val="00D728F6"/>
    <w:rsid w:val="00D73193"/>
    <w:rsid w:val="00D74837"/>
    <w:rsid w:val="00D75442"/>
    <w:rsid w:val="00D754C3"/>
    <w:rsid w:val="00D763ED"/>
    <w:rsid w:val="00D76564"/>
    <w:rsid w:val="00D766A1"/>
    <w:rsid w:val="00D77AA9"/>
    <w:rsid w:val="00D80164"/>
    <w:rsid w:val="00D8099D"/>
    <w:rsid w:val="00D81CD9"/>
    <w:rsid w:val="00D82A6E"/>
    <w:rsid w:val="00D830C8"/>
    <w:rsid w:val="00D86153"/>
    <w:rsid w:val="00D86598"/>
    <w:rsid w:val="00D871D8"/>
    <w:rsid w:val="00D87B12"/>
    <w:rsid w:val="00D910D9"/>
    <w:rsid w:val="00D91156"/>
    <w:rsid w:val="00D91C9C"/>
    <w:rsid w:val="00D9241A"/>
    <w:rsid w:val="00D9277E"/>
    <w:rsid w:val="00D929FB"/>
    <w:rsid w:val="00D92BB9"/>
    <w:rsid w:val="00D93117"/>
    <w:rsid w:val="00D93129"/>
    <w:rsid w:val="00D9333D"/>
    <w:rsid w:val="00D9381D"/>
    <w:rsid w:val="00D943FF"/>
    <w:rsid w:val="00D9665E"/>
    <w:rsid w:val="00D9705E"/>
    <w:rsid w:val="00D972B2"/>
    <w:rsid w:val="00D9738A"/>
    <w:rsid w:val="00D97B94"/>
    <w:rsid w:val="00DA16CF"/>
    <w:rsid w:val="00DA1CC9"/>
    <w:rsid w:val="00DA2066"/>
    <w:rsid w:val="00DA212F"/>
    <w:rsid w:val="00DA2529"/>
    <w:rsid w:val="00DA2DD2"/>
    <w:rsid w:val="00DA2DEF"/>
    <w:rsid w:val="00DA429E"/>
    <w:rsid w:val="00DA44A8"/>
    <w:rsid w:val="00DA4709"/>
    <w:rsid w:val="00DA50A1"/>
    <w:rsid w:val="00DA63BB"/>
    <w:rsid w:val="00DA666E"/>
    <w:rsid w:val="00DA66A0"/>
    <w:rsid w:val="00DA66D4"/>
    <w:rsid w:val="00DA670D"/>
    <w:rsid w:val="00DA6957"/>
    <w:rsid w:val="00DA6A44"/>
    <w:rsid w:val="00DA76FF"/>
    <w:rsid w:val="00DB0BD5"/>
    <w:rsid w:val="00DB19AD"/>
    <w:rsid w:val="00DB2F84"/>
    <w:rsid w:val="00DB440D"/>
    <w:rsid w:val="00DB59D9"/>
    <w:rsid w:val="00DB5A74"/>
    <w:rsid w:val="00DB61C3"/>
    <w:rsid w:val="00DB7238"/>
    <w:rsid w:val="00DB7FC5"/>
    <w:rsid w:val="00DC0CA1"/>
    <w:rsid w:val="00DC167C"/>
    <w:rsid w:val="00DC2F4C"/>
    <w:rsid w:val="00DC3C8D"/>
    <w:rsid w:val="00DC55AE"/>
    <w:rsid w:val="00DC5996"/>
    <w:rsid w:val="00DC60B5"/>
    <w:rsid w:val="00DC7C8F"/>
    <w:rsid w:val="00DD1D96"/>
    <w:rsid w:val="00DD2EC1"/>
    <w:rsid w:val="00DD2FBB"/>
    <w:rsid w:val="00DD31E0"/>
    <w:rsid w:val="00DD3B6B"/>
    <w:rsid w:val="00DD3E30"/>
    <w:rsid w:val="00DD482A"/>
    <w:rsid w:val="00DD525E"/>
    <w:rsid w:val="00DD5D4B"/>
    <w:rsid w:val="00DD6801"/>
    <w:rsid w:val="00DD7133"/>
    <w:rsid w:val="00DE243F"/>
    <w:rsid w:val="00DE2A5E"/>
    <w:rsid w:val="00DE3E3C"/>
    <w:rsid w:val="00DE447F"/>
    <w:rsid w:val="00DE4807"/>
    <w:rsid w:val="00DE483E"/>
    <w:rsid w:val="00DE4E77"/>
    <w:rsid w:val="00DE5855"/>
    <w:rsid w:val="00DE642D"/>
    <w:rsid w:val="00DE7C9D"/>
    <w:rsid w:val="00DE7F4A"/>
    <w:rsid w:val="00DE7FE2"/>
    <w:rsid w:val="00DF066C"/>
    <w:rsid w:val="00DF0976"/>
    <w:rsid w:val="00DF0C15"/>
    <w:rsid w:val="00DF0F00"/>
    <w:rsid w:val="00DF486D"/>
    <w:rsid w:val="00DF4B0D"/>
    <w:rsid w:val="00DF4D25"/>
    <w:rsid w:val="00DF586D"/>
    <w:rsid w:val="00DF58A2"/>
    <w:rsid w:val="00DF5D87"/>
    <w:rsid w:val="00DF6A2E"/>
    <w:rsid w:val="00DF73B8"/>
    <w:rsid w:val="00DF7AE3"/>
    <w:rsid w:val="00E01383"/>
    <w:rsid w:val="00E01A07"/>
    <w:rsid w:val="00E022BC"/>
    <w:rsid w:val="00E03097"/>
    <w:rsid w:val="00E03DEE"/>
    <w:rsid w:val="00E05518"/>
    <w:rsid w:val="00E055D1"/>
    <w:rsid w:val="00E05A88"/>
    <w:rsid w:val="00E060D4"/>
    <w:rsid w:val="00E07672"/>
    <w:rsid w:val="00E079FE"/>
    <w:rsid w:val="00E103ED"/>
    <w:rsid w:val="00E10768"/>
    <w:rsid w:val="00E10A4D"/>
    <w:rsid w:val="00E10DD3"/>
    <w:rsid w:val="00E11778"/>
    <w:rsid w:val="00E11B92"/>
    <w:rsid w:val="00E137C7"/>
    <w:rsid w:val="00E1507F"/>
    <w:rsid w:val="00E1631F"/>
    <w:rsid w:val="00E165D0"/>
    <w:rsid w:val="00E166F2"/>
    <w:rsid w:val="00E16C1E"/>
    <w:rsid w:val="00E16FAA"/>
    <w:rsid w:val="00E1739D"/>
    <w:rsid w:val="00E17616"/>
    <w:rsid w:val="00E17D85"/>
    <w:rsid w:val="00E207CC"/>
    <w:rsid w:val="00E20E9F"/>
    <w:rsid w:val="00E20FDD"/>
    <w:rsid w:val="00E21574"/>
    <w:rsid w:val="00E21F9A"/>
    <w:rsid w:val="00E22033"/>
    <w:rsid w:val="00E2211B"/>
    <w:rsid w:val="00E22564"/>
    <w:rsid w:val="00E2305C"/>
    <w:rsid w:val="00E23567"/>
    <w:rsid w:val="00E23956"/>
    <w:rsid w:val="00E23E9C"/>
    <w:rsid w:val="00E26897"/>
    <w:rsid w:val="00E273C9"/>
    <w:rsid w:val="00E30FBB"/>
    <w:rsid w:val="00E313DA"/>
    <w:rsid w:val="00E3299E"/>
    <w:rsid w:val="00E33173"/>
    <w:rsid w:val="00E338D6"/>
    <w:rsid w:val="00E33A29"/>
    <w:rsid w:val="00E35785"/>
    <w:rsid w:val="00E360DD"/>
    <w:rsid w:val="00E375D1"/>
    <w:rsid w:val="00E402F5"/>
    <w:rsid w:val="00E418A3"/>
    <w:rsid w:val="00E41923"/>
    <w:rsid w:val="00E42BEA"/>
    <w:rsid w:val="00E42DC6"/>
    <w:rsid w:val="00E43BC1"/>
    <w:rsid w:val="00E44137"/>
    <w:rsid w:val="00E443E6"/>
    <w:rsid w:val="00E44C7B"/>
    <w:rsid w:val="00E451E4"/>
    <w:rsid w:val="00E452AD"/>
    <w:rsid w:val="00E46A89"/>
    <w:rsid w:val="00E47683"/>
    <w:rsid w:val="00E50538"/>
    <w:rsid w:val="00E505C4"/>
    <w:rsid w:val="00E51DE1"/>
    <w:rsid w:val="00E525D4"/>
    <w:rsid w:val="00E5321F"/>
    <w:rsid w:val="00E54604"/>
    <w:rsid w:val="00E55112"/>
    <w:rsid w:val="00E56F29"/>
    <w:rsid w:val="00E57428"/>
    <w:rsid w:val="00E605F7"/>
    <w:rsid w:val="00E60B2C"/>
    <w:rsid w:val="00E612B9"/>
    <w:rsid w:val="00E62A9C"/>
    <w:rsid w:val="00E6457E"/>
    <w:rsid w:val="00E64DC7"/>
    <w:rsid w:val="00E650D2"/>
    <w:rsid w:val="00E6562D"/>
    <w:rsid w:val="00E666FD"/>
    <w:rsid w:val="00E66D04"/>
    <w:rsid w:val="00E677F8"/>
    <w:rsid w:val="00E71EBD"/>
    <w:rsid w:val="00E72518"/>
    <w:rsid w:val="00E73218"/>
    <w:rsid w:val="00E74407"/>
    <w:rsid w:val="00E746C3"/>
    <w:rsid w:val="00E75301"/>
    <w:rsid w:val="00E7542B"/>
    <w:rsid w:val="00E755EF"/>
    <w:rsid w:val="00E757B1"/>
    <w:rsid w:val="00E75825"/>
    <w:rsid w:val="00E75978"/>
    <w:rsid w:val="00E75CBB"/>
    <w:rsid w:val="00E76AF8"/>
    <w:rsid w:val="00E76BC3"/>
    <w:rsid w:val="00E76C0C"/>
    <w:rsid w:val="00E77308"/>
    <w:rsid w:val="00E77AF4"/>
    <w:rsid w:val="00E77D2D"/>
    <w:rsid w:val="00E80F0B"/>
    <w:rsid w:val="00E80F8D"/>
    <w:rsid w:val="00E81217"/>
    <w:rsid w:val="00E812D7"/>
    <w:rsid w:val="00E81570"/>
    <w:rsid w:val="00E81A70"/>
    <w:rsid w:val="00E82842"/>
    <w:rsid w:val="00E833A4"/>
    <w:rsid w:val="00E84261"/>
    <w:rsid w:val="00E847D6"/>
    <w:rsid w:val="00E855ED"/>
    <w:rsid w:val="00E862BC"/>
    <w:rsid w:val="00E87791"/>
    <w:rsid w:val="00E877C2"/>
    <w:rsid w:val="00E91509"/>
    <w:rsid w:val="00E9243A"/>
    <w:rsid w:val="00E92B1D"/>
    <w:rsid w:val="00E9474C"/>
    <w:rsid w:val="00E9480A"/>
    <w:rsid w:val="00E94A3F"/>
    <w:rsid w:val="00E95132"/>
    <w:rsid w:val="00E952CB"/>
    <w:rsid w:val="00E96F00"/>
    <w:rsid w:val="00E972C4"/>
    <w:rsid w:val="00E97302"/>
    <w:rsid w:val="00E9760E"/>
    <w:rsid w:val="00E97D4A"/>
    <w:rsid w:val="00EA0146"/>
    <w:rsid w:val="00EA0A30"/>
    <w:rsid w:val="00EA1CE8"/>
    <w:rsid w:val="00EA229A"/>
    <w:rsid w:val="00EA4C5E"/>
    <w:rsid w:val="00EA5B0B"/>
    <w:rsid w:val="00EA5D62"/>
    <w:rsid w:val="00EA5F56"/>
    <w:rsid w:val="00EA63D2"/>
    <w:rsid w:val="00EA64C7"/>
    <w:rsid w:val="00EA6883"/>
    <w:rsid w:val="00EA697C"/>
    <w:rsid w:val="00EA72E1"/>
    <w:rsid w:val="00EA7DEA"/>
    <w:rsid w:val="00EA7EFB"/>
    <w:rsid w:val="00EB068D"/>
    <w:rsid w:val="00EB1285"/>
    <w:rsid w:val="00EB14B5"/>
    <w:rsid w:val="00EB2151"/>
    <w:rsid w:val="00EB269A"/>
    <w:rsid w:val="00EB2884"/>
    <w:rsid w:val="00EB3F0C"/>
    <w:rsid w:val="00EB4B11"/>
    <w:rsid w:val="00EB5F75"/>
    <w:rsid w:val="00EB7C88"/>
    <w:rsid w:val="00EC0440"/>
    <w:rsid w:val="00EC09CB"/>
    <w:rsid w:val="00EC18C9"/>
    <w:rsid w:val="00EC1909"/>
    <w:rsid w:val="00EC1CF6"/>
    <w:rsid w:val="00EC3F5D"/>
    <w:rsid w:val="00EC6981"/>
    <w:rsid w:val="00EC69FA"/>
    <w:rsid w:val="00EC6C85"/>
    <w:rsid w:val="00EC6C9A"/>
    <w:rsid w:val="00ED0292"/>
    <w:rsid w:val="00ED0667"/>
    <w:rsid w:val="00ED103A"/>
    <w:rsid w:val="00ED179F"/>
    <w:rsid w:val="00ED274C"/>
    <w:rsid w:val="00ED626C"/>
    <w:rsid w:val="00ED64A2"/>
    <w:rsid w:val="00ED689F"/>
    <w:rsid w:val="00ED6DEF"/>
    <w:rsid w:val="00ED6EB2"/>
    <w:rsid w:val="00ED7450"/>
    <w:rsid w:val="00EE4FE7"/>
    <w:rsid w:val="00EE5310"/>
    <w:rsid w:val="00EE5D03"/>
    <w:rsid w:val="00EE5F6F"/>
    <w:rsid w:val="00EE79A8"/>
    <w:rsid w:val="00EF0DA8"/>
    <w:rsid w:val="00EF161D"/>
    <w:rsid w:val="00EF23C7"/>
    <w:rsid w:val="00EF431E"/>
    <w:rsid w:val="00EF54AB"/>
    <w:rsid w:val="00EF553F"/>
    <w:rsid w:val="00EF5F22"/>
    <w:rsid w:val="00EF67A4"/>
    <w:rsid w:val="00EF77BC"/>
    <w:rsid w:val="00F00A2B"/>
    <w:rsid w:val="00F00DF2"/>
    <w:rsid w:val="00F0101B"/>
    <w:rsid w:val="00F0291B"/>
    <w:rsid w:val="00F02B5D"/>
    <w:rsid w:val="00F039AE"/>
    <w:rsid w:val="00F04995"/>
    <w:rsid w:val="00F049B3"/>
    <w:rsid w:val="00F04BF6"/>
    <w:rsid w:val="00F050CE"/>
    <w:rsid w:val="00F06594"/>
    <w:rsid w:val="00F06E1A"/>
    <w:rsid w:val="00F07365"/>
    <w:rsid w:val="00F10314"/>
    <w:rsid w:val="00F103CB"/>
    <w:rsid w:val="00F10C3B"/>
    <w:rsid w:val="00F11604"/>
    <w:rsid w:val="00F11A41"/>
    <w:rsid w:val="00F11BA4"/>
    <w:rsid w:val="00F124CA"/>
    <w:rsid w:val="00F130C7"/>
    <w:rsid w:val="00F15857"/>
    <w:rsid w:val="00F161E8"/>
    <w:rsid w:val="00F16631"/>
    <w:rsid w:val="00F16D93"/>
    <w:rsid w:val="00F17A83"/>
    <w:rsid w:val="00F20997"/>
    <w:rsid w:val="00F21210"/>
    <w:rsid w:val="00F2183F"/>
    <w:rsid w:val="00F21944"/>
    <w:rsid w:val="00F22838"/>
    <w:rsid w:val="00F23E0A"/>
    <w:rsid w:val="00F24755"/>
    <w:rsid w:val="00F24D15"/>
    <w:rsid w:val="00F26099"/>
    <w:rsid w:val="00F26752"/>
    <w:rsid w:val="00F268A2"/>
    <w:rsid w:val="00F26DBF"/>
    <w:rsid w:val="00F27156"/>
    <w:rsid w:val="00F27494"/>
    <w:rsid w:val="00F27B29"/>
    <w:rsid w:val="00F30B9C"/>
    <w:rsid w:val="00F30F3C"/>
    <w:rsid w:val="00F31C83"/>
    <w:rsid w:val="00F33C46"/>
    <w:rsid w:val="00F34365"/>
    <w:rsid w:val="00F344E3"/>
    <w:rsid w:val="00F35121"/>
    <w:rsid w:val="00F35B9D"/>
    <w:rsid w:val="00F362DA"/>
    <w:rsid w:val="00F36FF7"/>
    <w:rsid w:val="00F373BB"/>
    <w:rsid w:val="00F37ADC"/>
    <w:rsid w:val="00F40A5D"/>
    <w:rsid w:val="00F40E4A"/>
    <w:rsid w:val="00F4144C"/>
    <w:rsid w:val="00F415EF"/>
    <w:rsid w:val="00F41704"/>
    <w:rsid w:val="00F4211A"/>
    <w:rsid w:val="00F42189"/>
    <w:rsid w:val="00F43091"/>
    <w:rsid w:val="00F43114"/>
    <w:rsid w:val="00F44038"/>
    <w:rsid w:val="00F446AD"/>
    <w:rsid w:val="00F462C6"/>
    <w:rsid w:val="00F46B18"/>
    <w:rsid w:val="00F46F18"/>
    <w:rsid w:val="00F53FB8"/>
    <w:rsid w:val="00F53FC1"/>
    <w:rsid w:val="00F5406D"/>
    <w:rsid w:val="00F54CB6"/>
    <w:rsid w:val="00F556CE"/>
    <w:rsid w:val="00F55B1C"/>
    <w:rsid w:val="00F56BCF"/>
    <w:rsid w:val="00F6083A"/>
    <w:rsid w:val="00F60BF0"/>
    <w:rsid w:val="00F6143F"/>
    <w:rsid w:val="00F637FD"/>
    <w:rsid w:val="00F647A0"/>
    <w:rsid w:val="00F64938"/>
    <w:rsid w:val="00F653C0"/>
    <w:rsid w:val="00F65490"/>
    <w:rsid w:val="00F65860"/>
    <w:rsid w:val="00F65E59"/>
    <w:rsid w:val="00F66B48"/>
    <w:rsid w:val="00F66DD6"/>
    <w:rsid w:val="00F675D6"/>
    <w:rsid w:val="00F67E74"/>
    <w:rsid w:val="00F704D3"/>
    <w:rsid w:val="00F70916"/>
    <w:rsid w:val="00F711A4"/>
    <w:rsid w:val="00F71209"/>
    <w:rsid w:val="00F71438"/>
    <w:rsid w:val="00F71B4F"/>
    <w:rsid w:val="00F72274"/>
    <w:rsid w:val="00F73165"/>
    <w:rsid w:val="00F73A58"/>
    <w:rsid w:val="00F748AA"/>
    <w:rsid w:val="00F77188"/>
    <w:rsid w:val="00F77A8D"/>
    <w:rsid w:val="00F80346"/>
    <w:rsid w:val="00F80495"/>
    <w:rsid w:val="00F805AB"/>
    <w:rsid w:val="00F80659"/>
    <w:rsid w:val="00F807EF"/>
    <w:rsid w:val="00F80CDE"/>
    <w:rsid w:val="00F82377"/>
    <w:rsid w:val="00F83743"/>
    <w:rsid w:val="00F8405D"/>
    <w:rsid w:val="00F841BF"/>
    <w:rsid w:val="00F84379"/>
    <w:rsid w:val="00F852CC"/>
    <w:rsid w:val="00F8557C"/>
    <w:rsid w:val="00F86034"/>
    <w:rsid w:val="00F86A85"/>
    <w:rsid w:val="00F876E0"/>
    <w:rsid w:val="00F87CEC"/>
    <w:rsid w:val="00F90F69"/>
    <w:rsid w:val="00F91063"/>
    <w:rsid w:val="00F91549"/>
    <w:rsid w:val="00F9217C"/>
    <w:rsid w:val="00F92708"/>
    <w:rsid w:val="00F932F1"/>
    <w:rsid w:val="00F93427"/>
    <w:rsid w:val="00F934EC"/>
    <w:rsid w:val="00F93D71"/>
    <w:rsid w:val="00F94584"/>
    <w:rsid w:val="00F95A38"/>
    <w:rsid w:val="00F95F2F"/>
    <w:rsid w:val="00F96075"/>
    <w:rsid w:val="00F96266"/>
    <w:rsid w:val="00F971CD"/>
    <w:rsid w:val="00F97764"/>
    <w:rsid w:val="00FA0DA1"/>
    <w:rsid w:val="00FA0DAD"/>
    <w:rsid w:val="00FA1614"/>
    <w:rsid w:val="00FA16B4"/>
    <w:rsid w:val="00FA1B32"/>
    <w:rsid w:val="00FA3116"/>
    <w:rsid w:val="00FA3801"/>
    <w:rsid w:val="00FA3B94"/>
    <w:rsid w:val="00FA4B82"/>
    <w:rsid w:val="00FA4FC5"/>
    <w:rsid w:val="00FA5585"/>
    <w:rsid w:val="00FA56FF"/>
    <w:rsid w:val="00FA5D3C"/>
    <w:rsid w:val="00FA7859"/>
    <w:rsid w:val="00FB20B9"/>
    <w:rsid w:val="00FB223E"/>
    <w:rsid w:val="00FB3B70"/>
    <w:rsid w:val="00FB644B"/>
    <w:rsid w:val="00FB69AA"/>
    <w:rsid w:val="00FB6BB5"/>
    <w:rsid w:val="00FB744F"/>
    <w:rsid w:val="00FB76C8"/>
    <w:rsid w:val="00FC1393"/>
    <w:rsid w:val="00FC1B13"/>
    <w:rsid w:val="00FC2F8B"/>
    <w:rsid w:val="00FC3284"/>
    <w:rsid w:val="00FC3822"/>
    <w:rsid w:val="00FC7BFD"/>
    <w:rsid w:val="00FD1591"/>
    <w:rsid w:val="00FD2012"/>
    <w:rsid w:val="00FD2772"/>
    <w:rsid w:val="00FD2AD7"/>
    <w:rsid w:val="00FD3EA2"/>
    <w:rsid w:val="00FD4945"/>
    <w:rsid w:val="00FD6EE6"/>
    <w:rsid w:val="00FD7DD7"/>
    <w:rsid w:val="00FE16BA"/>
    <w:rsid w:val="00FE298C"/>
    <w:rsid w:val="00FE2BCD"/>
    <w:rsid w:val="00FE2C34"/>
    <w:rsid w:val="00FE3CE8"/>
    <w:rsid w:val="00FE45ED"/>
    <w:rsid w:val="00FE54AD"/>
    <w:rsid w:val="00FE5C11"/>
    <w:rsid w:val="00FE5EBD"/>
    <w:rsid w:val="00FF2503"/>
    <w:rsid w:val="00FF3C32"/>
    <w:rsid w:val="00FF489E"/>
    <w:rsid w:val="00FF5965"/>
    <w:rsid w:val="00FF6974"/>
    <w:rsid w:val="00FF6CE7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basedOn w:val="DefaultParagraphFont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basedOn w:val="DefaultParagraphFont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basedOn w:val="DefaultParagraphFont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F12"/>
    <w:rPr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1F2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 w:eastAsia="x-none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basedOn w:val="DefaultParagraphFont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basedOn w:val="DefaultParagraphFont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 w:eastAsia="x-none"/>
    </w:rPr>
  </w:style>
  <w:style w:type="character" w:customStyle="1" w:styleId="CharChar1">
    <w:name w:val="Char Char1"/>
    <w:basedOn w:val="DefaultParagraphFont"/>
    <w:uiPriority w:val="99"/>
    <w:semiHidden/>
    <w:rsid w:val="003F6AB1"/>
    <w:rPr>
      <w:rFonts w:ascii="Arial" w:hAnsi="Arial" w:cs="Arial"/>
      <w:color w:val="000000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F12"/>
    <w:rPr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1F2F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February%202014\Graphs%20Feb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200" b="1" i="0" u="none" strike="noStrike" baseline="0">
                <a:solidFill>
                  <a:srgbClr val="000000"/>
                </a:solidFill>
                <a:latin typeface="Calibri"/>
              </a:rPr>
              <a:t>(σύνολο και κατά φύλο) τους τελευταίους 12 μήνες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rich>
      </c:tx>
      <c:layout>
        <c:manualLayout>
          <c:xMode val="edge"/>
          <c:yMode val="edge"/>
          <c:x val="0.15187376725838217"/>
          <c:y val="3.558718861209966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71355355728501"/>
          <c:y val="0.25403234522155321"/>
          <c:w val="0.7120328006336486"/>
          <c:h val="0.31318818243805158"/>
        </c:manualLayout>
      </c:layout>
      <c:lineChart>
        <c:grouping val="standard"/>
        <c:ser>
          <c:idx val="0"/>
          <c:order val="0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marker>
            <c:symbol val="none"/>
          </c:marker>
          <c:cat>
            <c:multiLvlStrRef>
              <c:f>'total and gender '!$A$26:$B$39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'total and gender '!$E$26:$E$39</c:f>
              <c:numCache>
                <c:formatCode>#,##0</c:formatCode>
                <c:ptCount val="14"/>
                <c:pt idx="0">
                  <c:v>22365</c:v>
                </c:pt>
                <c:pt idx="1">
                  <c:v>22445</c:v>
                </c:pt>
                <c:pt idx="2">
                  <c:v>21561</c:v>
                </c:pt>
                <c:pt idx="3">
                  <c:v>21380</c:v>
                </c:pt>
                <c:pt idx="4">
                  <c:v>20886</c:v>
                </c:pt>
                <c:pt idx="5">
                  <c:v>23139</c:v>
                </c:pt>
                <c:pt idx="6" formatCode="General">
                  <c:v>24742</c:v>
                </c:pt>
                <c:pt idx="7">
                  <c:v>25253</c:v>
                </c:pt>
                <c:pt idx="8">
                  <c:v>23691</c:v>
                </c:pt>
                <c:pt idx="9">
                  <c:v>22211</c:v>
                </c:pt>
                <c:pt idx="10">
                  <c:v>24495</c:v>
                </c:pt>
                <c:pt idx="11" formatCode="General">
                  <c:v>24647</c:v>
                </c:pt>
                <c:pt idx="12" formatCode="General">
                  <c:v>25712</c:v>
                </c:pt>
                <c:pt idx="13">
                  <c:v>25908</c:v>
                </c:pt>
              </c:numCache>
            </c:numRef>
          </c:val>
        </c:ser>
        <c:ser>
          <c:idx val="1"/>
          <c:order val="1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marker>
            <c:symbol val="none"/>
          </c:marker>
          <c:cat>
            <c:multiLvlStrRef>
              <c:f>'total and gender '!$A$26:$B$39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'total and gender '!$D$26:$D$39</c:f>
              <c:numCache>
                <c:formatCode>#,##0</c:formatCode>
                <c:ptCount val="14"/>
                <c:pt idx="0">
                  <c:v>23568</c:v>
                </c:pt>
                <c:pt idx="1">
                  <c:v>23664</c:v>
                </c:pt>
                <c:pt idx="2">
                  <c:v>22722</c:v>
                </c:pt>
                <c:pt idx="3">
                  <c:v>23821</c:v>
                </c:pt>
                <c:pt idx="4">
                  <c:v>23538</c:v>
                </c:pt>
                <c:pt idx="5">
                  <c:v>23724</c:v>
                </c:pt>
                <c:pt idx="6" formatCode="General">
                  <c:v>23259</c:v>
                </c:pt>
                <c:pt idx="7">
                  <c:v>23198</c:v>
                </c:pt>
                <c:pt idx="8">
                  <c:v>23326</c:v>
                </c:pt>
                <c:pt idx="9">
                  <c:v>22881</c:v>
                </c:pt>
                <c:pt idx="10">
                  <c:v>24839</c:v>
                </c:pt>
                <c:pt idx="11" formatCode="General">
                  <c:v>25820</c:v>
                </c:pt>
                <c:pt idx="12" formatCode="General">
                  <c:v>27071</c:v>
                </c:pt>
                <c:pt idx="13">
                  <c:v>27296</c:v>
                </c:pt>
              </c:numCache>
            </c:numRef>
          </c:val>
        </c:ser>
        <c:ser>
          <c:idx val="2"/>
          <c:order val="2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marker>
            <c:symbol val="none"/>
          </c:marker>
          <c:cat>
            <c:multiLvlStrRef>
              <c:f>'total and gender '!$A$26:$B$39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'total and gender '!$C$26:$C$39</c:f>
              <c:numCache>
                <c:formatCode>#,##0</c:formatCode>
                <c:ptCount val="14"/>
                <c:pt idx="0">
                  <c:v>45933</c:v>
                </c:pt>
                <c:pt idx="1">
                  <c:v>46109</c:v>
                </c:pt>
                <c:pt idx="2">
                  <c:v>44283</c:v>
                </c:pt>
                <c:pt idx="3">
                  <c:v>45201</c:v>
                </c:pt>
                <c:pt idx="4">
                  <c:v>44424</c:v>
                </c:pt>
                <c:pt idx="5">
                  <c:v>46863</c:v>
                </c:pt>
                <c:pt idx="6">
                  <c:v>48001</c:v>
                </c:pt>
                <c:pt idx="7">
                  <c:v>48451</c:v>
                </c:pt>
                <c:pt idx="8">
                  <c:v>47017</c:v>
                </c:pt>
                <c:pt idx="9">
                  <c:v>45092</c:v>
                </c:pt>
                <c:pt idx="10">
                  <c:v>49334</c:v>
                </c:pt>
                <c:pt idx="11" formatCode="General">
                  <c:v>50467</c:v>
                </c:pt>
                <c:pt idx="12" formatCode="General">
                  <c:v>52783</c:v>
                </c:pt>
                <c:pt idx="13">
                  <c:v>53204</c:v>
                </c:pt>
              </c:numCache>
            </c:numRef>
          </c:val>
        </c:ser>
        <c:marker val="1"/>
        <c:axId val="87132032"/>
        <c:axId val="87138304"/>
      </c:lineChart>
      <c:catAx>
        <c:axId val="87132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138304"/>
        <c:crosses val="autoZero"/>
        <c:auto val="1"/>
        <c:lblAlgn val="ctr"/>
        <c:lblOffset val="100"/>
      </c:catAx>
      <c:valAx>
        <c:axId val="87138304"/>
        <c:scaling>
          <c:orientation val="minMax"/>
          <c:min val="5000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132032"/>
        <c:crosses val="autoZero"/>
        <c:crossBetween val="between"/>
        <c:majorUnit val="10000"/>
      </c:valAx>
    </c:plotArea>
    <c:legend>
      <c:legendPos val="r"/>
      <c:layout>
        <c:manualLayout>
          <c:xMode val="edge"/>
          <c:yMode val="edge"/>
          <c:x val="0.82840236686390456"/>
          <c:y val="0.29893238434163732"/>
          <c:w val="0.16370808678501089"/>
          <c:h val="0.31316725978647686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97322444986015"/>
          <c:y val="0.20538788072088304"/>
          <c:w val="0.59589766663782462"/>
          <c:h val="0.30935426001043115"/>
        </c:manualLayout>
      </c:layout>
      <c:lineChart>
        <c:grouping val="standard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marker>
            <c:symbol val="none"/>
          </c:marker>
          <c:cat>
            <c:multiLvlStrRef>
              <c:f>'επαρχία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'επαρχία '!$N$3:$AA$3</c:f>
              <c:numCache>
                <c:formatCode>General</c:formatCode>
                <c:ptCount val="14"/>
                <c:pt idx="0">
                  <c:v>14245</c:v>
                </c:pt>
                <c:pt idx="1">
                  <c:v>14267</c:v>
                </c:pt>
                <c:pt idx="2">
                  <c:v>13961</c:v>
                </c:pt>
                <c:pt idx="3">
                  <c:v>15115</c:v>
                </c:pt>
                <c:pt idx="4">
                  <c:v>15998</c:v>
                </c:pt>
                <c:pt idx="5">
                  <c:v>17020</c:v>
                </c:pt>
                <c:pt idx="6">
                  <c:v>17469</c:v>
                </c:pt>
                <c:pt idx="7">
                  <c:v>18171</c:v>
                </c:pt>
                <c:pt idx="8">
                  <c:v>17797</c:v>
                </c:pt>
                <c:pt idx="9">
                  <c:v>16587</c:v>
                </c:pt>
                <c:pt idx="10">
                  <c:v>16185</c:v>
                </c:pt>
                <c:pt idx="11">
                  <c:v>15973</c:v>
                </c:pt>
                <c:pt idx="12">
                  <c:v>16519</c:v>
                </c:pt>
                <c:pt idx="13">
                  <c:v>16632</c:v>
                </c:pt>
              </c:numCache>
            </c:numRef>
          </c:val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marker>
            <c:symbol val="none"/>
          </c:marker>
          <c:cat>
            <c:multiLvlStrRef>
              <c:f>'επαρχία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'επαρχία '!$N$4:$AA$4</c:f>
              <c:numCache>
                <c:formatCode>General</c:formatCode>
                <c:ptCount val="14"/>
                <c:pt idx="0">
                  <c:v>5183</c:v>
                </c:pt>
                <c:pt idx="1">
                  <c:v>5218</c:v>
                </c:pt>
                <c:pt idx="2">
                  <c:v>4813</c:v>
                </c:pt>
                <c:pt idx="3">
                  <c:v>3528</c:v>
                </c:pt>
                <c:pt idx="4">
                  <c:v>2192</c:v>
                </c:pt>
                <c:pt idx="5">
                  <c:v>2168</c:v>
                </c:pt>
                <c:pt idx="6">
                  <c:v>2178</c:v>
                </c:pt>
                <c:pt idx="7">
                  <c:v>2156</c:v>
                </c:pt>
                <c:pt idx="8">
                  <c:v>2087</c:v>
                </c:pt>
                <c:pt idx="9">
                  <c:v>2163</c:v>
                </c:pt>
                <c:pt idx="10">
                  <c:v>4932</c:v>
                </c:pt>
                <c:pt idx="11">
                  <c:v>5578</c:v>
                </c:pt>
                <c:pt idx="12">
                  <c:v>5911</c:v>
                </c:pt>
                <c:pt idx="13">
                  <c:v>5903</c:v>
                </c:pt>
              </c:numCache>
            </c:numRef>
          </c:val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marker>
            <c:symbol val="none"/>
          </c:marker>
          <c:cat>
            <c:multiLvlStrRef>
              <c:f>'επαρχία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'επαρχία '!$N$5:$AA$5</c:f>
              <c:numCache>
                <c:formatCode>General</c:formatCode>
                <c:ptCount val="14"/>
                <c:pt idx="0">
                  <c:v>8771</c:v>
                </c:pt>
                <c:pt idx="1">
                  <c:v>8812</c:v>
                </c:pt>
                <c:pt idx="2">
                  <c:v>8536</c:v>
                </c:pt>
                <c:pt idx="3">
                  <c:v>8717</c:v>
                </c:pt>
                <c:pt idx="4">
                  <c:v>8535</c:v>
                </c:pt>
                <c:pt idx="5">
                  <c:v>9045</c:v>
                </c:pt>
                <c:pt idx="6">
                  <c:v>9318</c:v>
                </c:pt>
                <c:pt idx="7">
                  <c:v>9289</c:v>
                </c:pt>
                <c:pt idx="8">
                  <c:v>8985</c:v>
                </c:pt>
                <c:pt idx="9">
                  <c:v>8772</c:v>
                </c:pt>
                <c:pt idx="10">
                  <c:v>9620</c:v>
                </c:pt>
                <c:pt idx="11">
                  <c:v>9716</c:v>
                </c:pt>
                <c:pt idx="12">
                  <c:v>10193</c:v>
                </c:pt>
                <c:pt idx="13">
                  <c:v>10255</c:v>
                </c:pt>
              </c:numCache>
            </c:numRef>
          </c:val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'επαρχία '!$N$6:$AA$6</c:f>
              <c:numCache>
                <c:formatCode>General</c:formatCode>
                <c:ptCount val="14"/>
                <c:pt idx="0">
                  <c:v>11309</c:v>
                </c:pt>
                <c:pt idx="1">
                  <c:v>11403</c:v>
                </c:pt>
                <c:pt idx="2">
                  <c:v>11044</c:v>
                </c:pt>
                <c:pt idx="3">
                  <c:v>12141</c:v>
                </c:pt>
                <c:pt idx="4">
                  <c:v>12591</c:v>
                </c:pt>
                <c:pt idx="5">
                  <c:v>13483</c:v>
                </c:pt>
                <c:pt idx="6">
                  <c:v>13952</c:v>
                </c:pt>
                <c:pt idx="7">
                  <c:v>13891</c:v>
                </c:pt>
                <c:pt idx="8">
                  <c:v>13388</c:v>
                </c:pt>
                <c:pt idx="9">
                  <c:v>12901</c:v>
                </c:pt>
                <c:pt idx="10">
                  <c:v>12951</c:v>
                </c:pt>
                <c:pt idx="11">
                  <c:v>12967</c:v>
                </c:pt>
                <c:pt idx="12">
                  <c:v>13552</c:v>
                </c:pt>
                <c:pt idx="13">
                  <c:v>13745</c:v>
                </c:pt>
              </c:numCache>
            </c:numRef>
          </c:val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marker>
            <c:symbol val="none"/>
          </c:marker>
          <c:cat>
            <c:multiLvlStrRef>
              <c:f>'επαρχία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'επαρχία '!$N$7:$AA$7</c:f>
              <c:numCache>
                <c:formatCode>General</c:formatCode>
                <c:ptCount val="14"/>
                <c:pt idx="0">
                  <c:v>6422</c:v>
                </c:pt>
                <c:pt idx="1">
                  <c:v>6406</c:v>
                </c:pt>
                <c:pt idx="2">
                  <c:v>5926</c:v>
                </c:pt>
                <c:pt idx="3">
                  <c:v>5700</c:v>
                </c:pt>
                <c:pt idx="4">
                  <c:v>5108</c:v>
                </c:pt>
                <c:pt idx="5">
                  <c:v>5147</c:v>
                </c:pt>
                <c:pt idx="6">
                  <c:v>5084</c:v>
                </c:pt>
                <c:pt idx="7">
                  <c:v>4944</c:v>
                </c:pt>
                <c:pt idx="8">
                  <c:v>4760</c:v>
                </c:pt>
                <c:pt idx="9">
                  <c:v>4669</c:v>
                </c:pt>
                <c:pt idx="10">
                  <c:v>5646</c:v>
                </c:pt>
                <c:pt idx="11">
                  <c:v>6233</c:v>
                </c:pt>
                <c:pt idx="12">
                  <c:v>6608</c:v>
                </c:pt>
                <c:pt idx="13">
                  <c:v>6669</c:v>
                </c:pt>
              </c:numCache>
            </c:numRef>
          </c:val>
        </c:ser>
        <c:marker val="1"/>
        <c:axId val="119455104"/>
        <c:axId val="119986432"/>
      </c:lineChart>
      <c:catAx>
        <c:axId val="119455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9986432"/>
        <c:crosses val="autoZero"/>
        <c:auto val="1"/>
        <c:lblAlgn val="ctr"/>
        <c:lblOffset val="100"/>
      </c:catAx>
      <c:valAx>
        <c:axId val="119986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945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87912087912165"/>
          <c:y val="0.28956228956229191"/>
          <c:w val="0.27032967032967486"/>
          <c:h val="0.52525252525252131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ser>
          <c:idx val="0"/>
          <c:order val="0"/>
          <c:tx>
            <c:strRef>
              <c:f>'οικονομική '!$B$5</c:f>
              <c:strCache>
                <c:ptCount val="1"/>
                <c:pt idx="0">
                  <c:v>ΜΕΤΑΠΟΙΗΣΗ</c:v>
                </c:pt>
              </c:strCache>
            </c:strRef>
          </c:tx>
          <c:marker>
            <c:symbol val="none"/>
          </c:marker>
          <c:cat>
            <c:strRef>
              <c:f>'οικονομική '!$O$2:$AB$2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'οικονομική '!$O$5:$AB$5</c:f>
              <c:numCache>
                <c:formatCode>General</c:formatCode>
                <c:ptCount val="14"/>
                <c:pt idx="0">
                  <c:v>4226</c:v>
                </c:pt>
                <c:pt idx="1">
                  <c:v>4284</c:v>
                </c:pt>
                <c:pt idx="2">
                  <c:v>4260</c:v>
                </c:pt>
                <c:pt idx="3">
                  <c:v>4763</c:v>
                </c:pt>
                <c:pt idx="4">
                  <c:v>4868</c:v>
                </c:pt>
                <c:pt idx="5">
                  <c:v>5043</c:v>
                </c:pt>
                <c:pt idx="6">
                  <c:v>4907</c:v>
                </c:pt>
                <c:pt idx="7">
                  <c:v>4818</c:v>
                </c:pt>
                <c:pt idx="8">
                  <c:v>4854</c:v>
                </c:pt>
                <c:pt idx="9">
                  <c:v>4884</c:v>
                </c:pt>
                <c:pt idx="10">
                  <c:v>4867</c:v>
                </c:pt>
                <c:pt idx="11">
                  <c:v>4786</c:v>
                </c:pt>
                <c:pt idx="12">
                  <c:v>4888</c:v>
                </c:pt>
                <c:pt idx="13">
                  <c:v>4948</c:v>
                </c:pt>
              </c:numCache>
            </c:numRef>
          </c:val>
        </c:ser>
        <c:ser>
          <c:idx val="1"/>
          <c:order val="1"/>
          <c:tx>
            <c:strRef>
              <c:f>'οικονομική '!$B$8</c:f>
              <c:strCache>
                <c:ptCount val="1"/>
                <c:pt idx="0">
                  <c:v>ΚΑΤΑΣΚΕΥΕΣ</c:v>
                </c:pt>
              </c:strCache>
            </c:strRef>
          </c:tx>
          <c:marker>
            <c:symbol val="none"/>
          </c:marker>
          <c:cat>
            <c:strRef>
              <c:f>'οικονομική '!$O$2:$AB$2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'οικονομική '!$O$8:$AB$8</c:f>
              <c:numCache>
                <c:formatCode>General</c:formatCode>
                <c:ptCount val="14"/>
                <c:pt idx="0">
                  <c:v>6839</c:v>
                </c:pt>
                <c:pt idx="1">
                  <c:v>6911</c:v>
                </c:pt>
                <c:pt idx="2">
                  <c:v>6717</c:v>
                </c:pt>
                <c:pt idx="3">
                  <c:v>7506</c:v>
                </c:pt>
                <c:pt idx="4">
                  <c:v>7615</c:v>
                </c:pt>
                <c:pt idx="5">
                  <c:v>7747</c:v>
                </c:pt>
                <c:pt idx="6">
                  <c:v>7685</c:v>
                </c:pt>
                <c:pt idx="7">
                  <c:v>7340</c:v>
                </c:pt>
                <c:pt idx="8">
                  <c:v>7349</c:v>
                </c:pt>
                <c:pt idx="9">
                  <c:v>7234</c:v>
                </c:pt>
                <c:pt idx="10">
                  <c:v>7209</c:v>
                </c:pt>
                <c:pt idx="11">
                  <c:v>7009</c:v>
                </c:pt>
                <c:pt idx="12">
                  <c:v>7162</c:v>
                </c:pt>
                <c:pt idx="13">
                  <c:v>7077</c:v>
                </c:pt>
              </c:numCache>
            </c:numRef>
          </c:val>
        </c:ser>
        <c:ser>
          <c:idx val="2"/>
          <c:order val="2"/>
          <c:tx>
            <c:strRef>
              <c:f>'οικονομική '!$B$9</c:f>
              <c:strCache>
                <c:ptCount val="1"/>
                <c:pt idx="0">
                  <c:v>ΕΜΠΟΡΙΟ</c:v>
                </c:pt>
              </c:strCache>
            </c:strRef>
          </c:tx>
          <c:marker>
            <c:symbol val="none"/>
          </c:marker>
          <c:cat>
            <c:strRef>
              <c:f>'οικονομική '!$O$2:$AB$2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'οικονομική '!$O$9:$AB$9</c:f>
              <c:numCache>
                <c:formatCode>General</c:formatCode>
                <c:ptCount val="14"/>
                <c:pt idx="0">
                  <c:v>8514</c:v>
                </c:pt>
                <c:pt idx="1">
                  <c:v>8792</c:v>
                </c:pt>
                <c:pt idx="2">
                  <c:v>8814</c:v>
                </c:pt>
                <c:pt idx="3">
                  <c:v>9431</c:v>
                </c:pt>
                <c:pt idx="4">
                  <c:v>9487</c:v>
                </c:pt>
                <c:pt idx="5">
                  <c:v>9730</c:v>
                </c:pt>
                <c:pt idx="6">
                  <c:v>9673</c:v>
                </c:pt>
                <c:pt idx="7">
                  <c:v>9425</c:v>
                </c:pt>
                <c:pt idx="8">
                  <c:v>9549</c:v>
                </c:pt>
                <c:pt idx="9">
                  <c:v>9236</c:v>
                </c:pt>
                <c:pt idx="10">
                  <c:v>9260</c:v>
                </c:pt>
                <c:pt idx="11">
                  <c:v>8958</c:v>
                </c:pt>
                <c:pt idx="12">
                  <c:v>9190</c:v>
                </c:pt>
                <c:pt idx="13">
                  <c:v>9229</c:v>
                </c:pt>
              </c:numCache>
            </c:numRef>
          </c:val>
        </c:ser>
        <c:ser>
          <c:idx val="3"/>
          <c:order val="3"/>
          <c:tx>
            <c:strRef>
              <c:f>'οικονομική '!$B$11</c:f>
              <c:strCache>
                <c:ptCount val="1"/>
                <c:pt idx="0">
                  <c:v>ΞΕΝΟΔΟΧΕΙΑ</c:v>
                </c:pt>
              </c:strCache>
            </c:strRef>
          </c:tx>
          <c:marker>
            <c:symbol val="none"/>
          </c:marker>
          <c:cat>
            <c:strRef>
              <c:f>'οικονομική '!$O$2:$AB$2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'οικονομική '!$O$11:$AB$11</c:f>
              <c:numCache>
                <c:formatCode>General</c:formatCode>
                <c:ptCount val="14"/>
                <c:pt idx="0">
                  <c:v>8163</c:v>
                </c:pt>
                <c:pt idx="1">
                  <c:v>8120</c:v>
                </c:pt>
                <c:pt idx="2">
                  <c:v>7237</c:v>
                </c:pt>
                <c:pt idx="3">
                  <c:v>5606</c:v>
                </c:pt>
                <c:pt idx="4">
                  <c:v>4060</c:v>
                </c:pt>
                <c:pt idx="5">
                  <c:v>3895</c:v>
                </c:pt>
                <c:pt idx="6">
                  <c:v>3706</c:v>
                </c:pt>
                <c:pt idx="7">
                  <c:v>3612</c:v>
                </c:pt>
                <c:pt idx="8">
                  <c:v>3616</c:v>
                </c:pt>
                <c:pt idx="9">
                  <c:v>3799</c:v>
                </c:pt>
                <c:pt idx="10">
                  <c:v>7856</c:v>
                </c:pt>
                <c:pt idx="11">
                  <c:v>8863</c:v>
                </c:pt>
                <c:pt idx="12">
                  <c:v>9356</c:v>
                </c:pt>
                <c:pt idx="13">
                  <c:v>9324</c:v>
                </c:pt>
              </c:numCache>
            </c:numRef>
          </c:val>
        </c:ser>
        <c:ser>
          <c:idx val="4"/>
          <c:order val="4"/>
          <c:tx>
            <c:strRef>
              <c:f>'οικονομική '!$B$15</c:f>
              <c:strCache>
                <c:ptCount val="1"/>
                <c:pt idx="0">
                  <c:v>ΔΗΜΟΣΙΑ ΔΙΟΙΚ</c:v>
                </c:pt>
              </c:strCache>
            </c:strRef>
          </c:tx>
          <c:marker>
            <c:symbol val="none"/>
          </c:marker>
          <c:cat>
            <c:strRef>
              <c:f>'οικονομική '!$O$2:$AB$2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'οικονομική '!$O$15:$AB$15</c:f>
              <c:numCache>
                <c:formatCode>General</c:formatCode>
                <c:ptCount val="14"/>
                <c:pt idx="0">
                  <c:v>4613</c:v>
                </c:pt>
                <c:pt idx="1">
                  <c:v>4554</c:v>
                </c:pt>
                <c:pt idx="2">
                  <c:v>4439</c:v>
                </c:pt>
                <c:pt idx="3">
                  <c:v>4615</c:v>
                </c:pt>
                <c:pt idx="4">
                  <c:v>4164</c:v>
                </c:pt>
                <c:pt idx="5">
                  <c:v>4242</c:v>
                </c:pt>
                <c:pt idx="6">
                  <c:v>4172</c:v>
                </c:pt>
                <c:pt idx="7">
                  <c:v>3989</c:v>
                </c:pt>
                <c:pt idx="8">
                  <c:v>3503</c:v>
                </c:pt>
                <c:pt idx="9">
                  <c:v>3091</c:v>
                </c:pt>
                <c:pt idx="10">
                  <c:v>3172</c:v>
                </c:pt>
                <c:pt idx="11">
                  <c:v>4439</c:v>
                </c:pt>
                <c:pt idx="12">
                  <c:v>5167</c:v>
                </c:pt>
                <c:pt idx="13">
                  <c:v>5415</c:v>
                </c:pt>
              </c:numCache>
            </c:numRef>
          </c:val>
        </c:ser>
        <c:marker val="1"/>
        <c:axId val="120359936"/>
        <c:axId val="120619776"/>
      </c:lineChart>
      <c:catAx>
        <c:axId val="120359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20619776"/>
        <c:crosses val="autoZero"/>
        <c:auto val="1"/>
        <c:lblAlgn val="ctr"/>
        <c:lblOffset val="100"/>
      </c:catAx>
      <c:valAx>
        <c:axId val="1206197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2035993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2628265697557493"/>
          <c:y val="0.34642560918556142"/>
          <c:w val="0.25192331347967584"/>
          <c:h val="0.36253829915605601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0661"/>
          <c:h val="0.42948852378970509"/>
        </c:manualLayout>
      </c:layout>
      <c:lineChart>
        <c:grouping val="standard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marker>
            <c:symbol val="none"/>
          </c:marker>
          <c:cat>
            <c:multiLvlStrRef>
              <c:f>επάγγελμα!$O$1:$AB$2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επάγγελμα!$O$4:$AB$4</c:f>
              <c:numCache>
                <c:formatCode>General</c:formatCode>
                <c:ptCount val="14"/>
                <c:pt idx="0">
                  <c:v>2199</c:v>
                </c:pt>
                <c:pt idx="1">
                  <c:v>2171</c:v>
                </c:pt>
                <c:pt idx="2">
                  <c:v>2073</c:v>
                </c:pt>
                <c:pt idx="3">
                  <c:v>2451</c:v>
                </c:pt>
                <c:pt idx="4">
                  <c:v>2910</c:v>
                </c:pt>
                <c:pt idx="5">
                  <c:v>4642</c:v>
                </c:pt>
                <c:pt idx="6">
                  <c:v>5413</c:v>
                </c:pt>
                <c:pt idx="7">
                  <c:v>5559</c:v>
                </c:pt>
                <c:pt idx="8">
                  <c:v>4802</c:v>
                </c:pt>
                <c:pt idx="9">
                  <c:v>3474</c:v>
                </c:pt>
                <c:pt idx="10">
                  <c:v>3041</c:v>
                </c:pt>
                <c:pt idx="11">
                  <c:v>3006</c:v>
                </c:pt>
                <c:pt idx="12">
                  <c:v>2986</c:v>
                </c:pt>
                <c:pt idx="13">
                  <c:v>2982</c:v>
                </c:pt>
              </c:numCache>
            </c:numRef>
          </c:val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strRef>
              <c:f>επάγγελμα!$O$2:$AB$2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επάγγελμα!$O$6:$AB$6</c:f>
              <c:numCache>
                <c:formatCode>General</c:formatCode>
                <c:ptCount val="14"/>
                <c:pt idx="0">
                  <c:v>7433</c:v>
                </c:pt>
                <c:pt idx="1">
                  <c:v>7449</c:v>
                </c:pt>
                <c:pt idx="2">
                  <c:v>7305</c:v>
                </c:pt>
                <c:pt idx="3">
                  <c:v>7468</c:v>
                </c:pt>
                <c:pt idx="4">
                  <c:v>7521</c:v>
                </c:pt>
                <c:pt idx="5">
                  <c:v>7743</c:v>
                </c:pt>
                <c:pt idx="6">
                  <c:v>8216</c:v>
                </c:pt>
                <c:pt idx="7">
                  <c:v>8807</c:v>
                </c:pt>
                <c:pt idx="8">
                  <c:v>8598</c:v>
                </c:pt>
                <c:pt idx="9">
                  <c:v>8408</c:v>
                </c:pt>
                <c:pt idx="10">
                  <c:v>8822</c:v>
                </c:pt>
                <c:pt idx="11">
                  <c:v>8813</c:v>
                </c:pt>
                <c:pt idx="12">
                  <c:v>9166</c:v>
                </c:pt>
                <c:pt idx="13">
                  <c:v>9176</c:v>
                </c:pt>
              </c:numCache>
            </c:numRef>
          </c:val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none"/>
          </c:marker>
          <c:cat>
            <c:strRef>
              <c:f>επάγγελμα!$O$2:$AB$2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επάγγελμα!$O$7:$AB$7</c:f>
              <c:numCache>
                <c:formatCode>General</c:formatCode>
                <c:ptCount val="14"/>
                <c:pt idx="0">
                  <c:v>9139</c:v>
                </c:pt>
                <c:pt idx="1">
                  <c:v>9256</c:v>
                </c:pt>
                <c:pt idx="2">
                  <c:v>8751</c:v>
                </c:pt>
                <c:pt idx="3">
                  <c:v>8112</c:v>
                </c:pt>
                <c:pt idx="4">
                  <c:v>7119</c:v>
                </c:pt>
                <c:pt idx="5">
                  <c:v>7503</c:v>
                </c:pt>
                <c:pt idx="6">
                  <c:v>7259</c:v>
                </c:pt>
                <c:pt idx="7">
                  <c:v>7079</c:v>
                </c:pt>
                <c:pt idx="8">
                  <c:v>6768</c:v>
                </c:pt>
                <c:pt idx="9">
                  <c:v>6720</c:v>
                </c:pt>
                <c:pt idx="10">
                  <c:v>8956</c:v>
                </c:pt>
                <c:pt idx="11">
                  <c:v>9680</c:v>
                </c:pt>
                <c:pt idx="12">
                  <c:v>10323</c:v>
                </c:pt>
                <c:pt idx="13">
                  <c:v>10354</c:v>
                </c:pt>
              </c:numCache>
            </c:numRef>
          </c:val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marker>
            <c:symbol val="none"/>
          </c:marker>
          <c:cat>
            <c:multiLvlStrRef>
              <c:f>επάγγελμα!$O$1:$AB$2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επάγγελμα!$O$9:$AB$9</c:f>
              <c:numCache>
                <c:formatCode>General</c:formatCode>
                <c:ptCount val="14"/>
                <c:pt idx="0">
                  <c:v>6290</c:v>
                </c:pt>
                <c:pt idx="1">
                  <c:v>6374</c:v>
                </c:pt>
                <c:pt idx="2">
                  <c:v>6249</c:v>
                </c:pt>
                <c:pt idx="3">
                  <c:v>6960</c:v>
                </c:pt>
                <c:pt idx="4">
                  <c:v>7127</c:v>
                </c:pt>
                <c:pt idx="5">
                  <c:v>7147</c:v>
                </c:pt>
                <c:pt idx="6">
                  <c:v>6980</c:v>
                </c:pt>
                <c:pt idx="7">
                  <c:v>6744</c:v>
                </c:pt>
                <c:pt idx="8">
                  <c:v>6744</c:v>
                </c:pt>
                <c:pt idx="9">
                  <c:v>6660</c:v>
                </c:pt>
                <c:pt idx="10">
                  <c:v>6682</c:v>
                </c:pt>
                <c:pt idx="11">
                  <c:v>6703</c:v>
                </c:pt>
                <c:pt idx="12">
                  <c:v>6905</c:v>
                </c:pt>
                <c:pt idx="13">
                  <c:v>6839</c:v>
                </c:pt>
              </c:numCache>
            </c:numRef>
          </c:val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none"/>
          </c:marker>
          <c:cat>
            <c:strRef>
              <c:f>επάγγελμα!$O$2:$AB$2</c:f>
              <c:strCache>
                <c:ptCount val="14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Σεπτέμβρης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  <c:pt idx="12">
                  <c:v>Ιανουάριος</c:v>
                </c:pt>
                <c:pt idx="13">
                  <c:v>Φεβρουάριος</c:v>
                </c:pt>
              </c:strCache>
            </c:strRef>
          </c:cat>
          <c:val>
            <c:numRef>
              <c:f>επάγγελμα!$O$11:$AB$11</c:f>
              <c:numCache>
                <c:formatCode>General</c:formatCode>
                <c:ptCount val="14"/>
                <c:pt idx="0">
                  <c:v>10676</c:v>
                </c:pt>
                <c:pt idx="1">
                  <c:v>10668</c:v>
                </c:pt>
                <c:pt idx="2">
                  <c:v>10168</c:v>
                </c:pt>
                <c:pt idx="3">
                  <c:v>9926</c:v>
                </c:pt>
                <c:pt idx="4">
                  <c:v>8965</c:v>
                </c:pt>
                <c:pt idx="5">
                  <c:v>8722</c:v>
                </c:pt>
                <c:pt idx="6">
                  <c:v>8501</c:v>
                </c:pt>
                <c:pt idx="7">
                  <c:v>8085</c:v>
                </c:pt>
                <c:pt idx="8">
                  <c:v>7931</c:v>
                </c:pt>
                <c:pt idx="9">
                  <c:v>7960</c:v>
                </c:pt>
                <c:pt idx="10">
                  <c:v>9800</c:v>
                </c:pt>
                <c:pt idx="11">
                  <c:v>10599</c:v>
                </c:pt>
                <c:pt idx="12">
                  <c:v>11205</c:v>
                </c:pt>
                <c:pt idx="13">
                  <c:v>11396</c:v>
                </c:pt>
              </c:numCache>
            </c:numRef>
          </c:val>
        </c:ser>
        <c:marker val="1"/>
        <c:axId val="86761856"/>
        <c:axId val="86763392"/>
      </c:lineChart>
      <c:catAx>
        <c:axId val="867618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6763392"/>
        <c:crosses val="autoZero"/>
        <c:auto val="1"/>
        <c:lblAlgn val="ctr"/>
        <c:lblOffset val="100"/>
      </c:catAx>
      <c:valAx>
        <c:axId val="86763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6761856"/>
        <c:crosses val="autoZero"/>
        <c:crossBetween val="between"/>
        <c:majorUnit val="2000"/>
      </c:valAx>
    </c:plotArea>
    <c:legend>
      <c:legendPos val="r"/>
      <c:legendEntry>
        <c:idx val="2"/>
        <c:txPr>
          <a:bodyPr/>
          <a:lstStyle/>
          <a:p>
            <a:pPr>
              <a:defRPr lang="el-GR" sz="900"/>
            </a:pPr>
            <a:endParaRPr lang="en-US"/>
          </a:p>
        </c:txPr>
      </c:legendEntry>
      <c:layout>
        <c:manualLayout>
          <c:xMode val="edge"/>
          <c:yMode val="edge"/>
          <c:x val="0.73358348968105058"/>
          <c:y val="0.25886531045789368"/>
          <c:w val="0.25156982956867735"/>
          <c:h val="0.5897522340499225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84464951489321"/>
          <c:y val="0.28963468690281002"/>
          <c:w val="0.65944704164689538"/>
          <c:h val="0.38490536115010116"/>
        </c:manualLayout>
      </c:layout>
      <c:lineChart>
        <c:grouping val="standard"/>
        <c:ser>
          <c:idx val="0"/>
          <c:order val="0"/>
          <c:tx>
            <c:strRef>
              <c:f>'διάρκεια '!$A$6</c:f>
              <c:strCache>
                <c:ptCount val="1"/>
                <c:pt idx="0">
                  <c:v>6 ΜΗΝΕΣ -12 ΜΗΝΕΣ</c:v>
                </c:pt>
              </c:strCache>
            </c:strRef>
          </c:tx>
          <c:marker>
            <c:symbol val="none"/>
          </c:marker>
          <c:cat>
            <c:multiLvlStrRef>
              <c:f>'διάρκεια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'διάρκεια '!$N$6:$AA$6</c:f>
              <c:numCache>
                <c:formatCode>General</c:formatCode>
                <c:ptCount val="14"/>
                <c:pt idx="0">
                  <c:v>7414</c:v>
                </c:pt>
                <c:pt idx="1">
                  <c:v>7417</c:v>
                </c:pt>
                <c:pt idx="2">
                  <c:v>8276</c:v>
                </c:pt>
                <c:pt idx="3">
                  <c:v>9261</c:v>
                </c:pt>
                <c:pt idx="4">
                  <c:v>9186</c:v>
                </c:pt>
                <c:pt idx="5">
                  <c:v>9433</c:v>
                </c:pt>
                <c:pt idx="6">
                  <c:v>9831</c:v>
                </c:pt>
                <c:pt idx="7">
                  <c:v>9404</c:v>
                </c:pt>
                <c:pt idx="8">
                  <c:v>9362</c:v>
                </c:pt>
                <c:pt idx="9">
                  <c:v>10035</c:v>
                </c:pt>
                <c:pt idx="10">
                  <c:v>10952</c:v>
                </c:pt>
                <c:pt idx="11">
                  <c:v>11277</c:v>
                </c:pt>
                <c:pt idx="12">
                  <c:v>10876</c:v>
                </c:pt>
                <c:pt idx="13">
                  <c:v>11557</c:v>
                </c:pt>
              </c:numCache>
            </c:numRef>
          </c:val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marker>
            <c:symbol val="none"/>
          </c:marker>
          <c:cat>
            <c:multiLvlStrRef>
              <c:f>'διάρκεια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'διάρκεια '!$N$7:$AA$7</c:f>
              <c:numCache>
                <c:formatCode>General</c:formatCode>
                <c:ptCount val="14"/>
                <c:pt idx="0">
                  <c:v>5310</c:v>
                </c:pt>
                <c:pt idx="1">
                  <c:v>5569</c:v>
                </c:pt>
                <c:pt idx="2">
                  <c:v>5835</c:v>
                </c:pt>
                <c:pt idx="3">
                  <c:v>6176</c:v>
                </c:pt>
                <c:pt idx="4">
                  <c:v>6244</c:v>
                </c:pt>
                <c:pt idx="5">
                  <c:v>6774</c:v>
                </c:pt>
                <c:pt idx="6">
                  <c:v>6941</c:v>
                </c:pt>
                <c:pt idx="7">
                  <c:v>7226</c:v>
                </c:pt>
                <c:pt idx="8">
                  <c:v>7568</c:v>
                </c:pt>
                <c:pt idx="9">
                  <c:v>7890</c:v>
                </c:pt>
                <c:pt idx="10">
                  <c:v>8366</c:v>
                </c:pt>
                <c:pt idx="11">
                  <c:v>8673</c:v>
                </c:pt>
                <c:pt idx="12">
                  <c:v>9412</c:v>
                </c:pt>
                <c:pt idx="13">
                  <c:v>9765</c:v>
                </c:pt>
              </c:numCache>
            </c:numRef>
          </c:val>
        </c:ser>
        <c:marker val="1"/>
        <c:axId val="86821504"/>
        <c:axId val="86905216"/>
      </c:lineChart>
      <c:catAx>
        <c:axId val="86821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6905216"/>
        <c:crosses val="autoZero"/>
        <c:auto val="1"/>
        <c:lblAlgn val="ctr"/>
        <c:lblOffset val="100"/>
      </c:catAx>
      <c:valAx>
        <c:axId val="86905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682150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6902761480977355"/>
          <c:y val="0.28673850813965673"/>
          <c:w val="0.22535211267605632"/>
          <c:h val="0.44444444444444442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431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31658126933721"/>
          <c:y val="0.20916028113935509"/>
          <c:w val="0.65817621421175565"/>
          <c:h val="0.34908411858353777"/>
        </c:manualLayout>
      </c:layout>
      <c:lineChart>
        <c:grouping val="standard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marker>
            <c:symbol val="none"/>
          </c:marker>
          <c:cat>
            <c:multiLvlStrRef>
              <c:f>'ηλικία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'ηλικία '!$N$3:$AA$3</c:f>
              <c:numCache>
                <c:formatCode>#,##0</c:formatCode>
                <c:ptCount val="14"/>
                <c:pt idx="0">
                  <c:v>5392</c:v>
                </c:pt>
                <c:pt idx="1">
                  <c:v>5158</c:v>
                </c:pt>
                <c:pt idx="2">
                  <c:v>4660</c:v>
                </c:pt>
                <c:pt idx="3" formatCode="General">
                  <c:v>4751</c:v>
                </c:pt>
                <c:pt idx="4" formatCode="General">
                  <c:v>4976</c:v>
                </c:pt>
                <c:pt idx="5" formatCode="General">
                  <c:v>4970</c:v>
                </c:pt>
                <c:pt idx="6" formatCode="General">
                  <c:v>5540</c:v>
                </c:pt>
                <c:pt idx="7" formatCode="General">
                  <c:v>5529</c:v>
                </c:pt>
                <c:pt idx="8" formatCode="General">
                  <c:v>5508</c:v>
                </c:pt>
                <c:pt idx="9" formatCode="General">
                  <c:v>5102</c:v>
                </c:pt>
                <c:pt idx="10" formatCode="General">
                  <c:v>5395</c:v>
                </c:pt>
                <c:pt idx="11" formatCode="General">
                  <c:v>5147</c:v>
                </c:pt>
                <c:pt idx="12" formatCode="General">
                  <c:v>5518</c:v>
                </c:pt>
                <c:pt idx="13" formatCode="General">
                  <c:v>5796</c:v>
                </c:pt>
              </c:numCache>
            </c:numRef>
          </c:val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'ηλικία '!$N$4:$AA$4</c:f>
              <c:numCache>
                <c:formatCode>General</c:formatCode>
                <c:ptCount val="14"/>
                <c:pt idx="0">
                  <c:v>7625</c:v>
                </c:pt>
                <c:pt idx="1">
                  <c:v>7548</c:v>
                </c:pt>
                <c:pt idx="2">
                  <c:v>7151</c:v>
                </c:pt>
                <c:pt idx="3">
                  <c:v>7560</c:v>
                </c:pt>
                <c:pt idx="4">
                  <c:v>7887</c:v>
                </c:pt>
                <c:pt idx="5">
                  <c:v>8664</c:v>
                </c:pt>
                <c:pt idx="6">
                  <c:v>8909</c:v>
                </c:pt>
                <c:pt idx="7">
                  <c:v>8842</c:v>
                </c:pt>
                <c:pt idx="8">
                  <c:v>8238</c:v>
                </c:pt>
                <c:pt idx="9">
                  <c:v>7367</c:v>
                </c:pt>
                <c:pt idx="10">
                  <c:v>7823</c:v>
                </c:pt>
                <c:pt idx="11">
                  <c:v>7764</c:v>
                </c:pt>
                <c:pt idx="12">
                  <c:v>8204</c:v>
                </c:pt>
                <c:pt idx="13">
                  <c:v>8261</c:v>
                </c:pt>
              </c:numCache>
            </c:numRef>
          </c:val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'ηλικία '!$N$5:$AA$5</c:f>
              <c:numCache>
                <c:formatCode>General</c:formatCode>
                <c:ptCount val="14"/>
                <c:pt idx="0">
                  <c:v>10764</c:v>
                </c:pt>
                <c:pt idx="1">
                  <c:v>10784</c:v>
                </c:pt>
                <c:pt idx="2">
                  <c:v>10358</c:v>
                </c:pt>
                <c:pt idx="3">
                  <c:v>10564</c:v>
                </c:pt>
                <c:pt idx="4">
                  <c:v>10371</c:v>
                </c:pt>
                <c:pt idx="5">
                  <c:v>11303</c:v>
                </c:pt>
                <c:pt idx="6">
                  <c:v>11401</c:v>
                </c:pt>
                <c:pt idx="7">
                  <c:v>11181</c:v>
                </c:pt>
                <c:pt idx="8">
                  <c:v>10717</c:v>
                </c:pt>
                <c:pt idx="9">
                  <c:v>10121</c:v>
                </c:pt>
                <c:pt idx="10">
                  <c:v>11255</c:v>
                </c:pt>
                <c:pt idx="11">
                  <c:v>11638</c:v>
                </c:pt>
                <c:pt idx="12">
                  <c:v>12053</c:v>
                </c:pt>
                <c:pt idx="13">
                  <c:v>12086</c:v>
                </c:pt>
              </c:numCache>
            </c:numRef>
          </c:val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marker>
            <c:symbol val="none"/>
          </c:marker>
          <c:cat>
            <c:multiLvlStrRef>
              <c:f>'ηλικία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'ηλικία '!$N$6:$AA$6</c:f>
              <c:numCache>
                <c:formatCode>General</c:formatCode>
                <c:ptCount val="14"/>
                <c:pt idx="0">
                  <c:v>9232</c:v>
                </c:pt>
                <c:pt idx="1">
                  <c:v>9393</c:v>
                </c:pt>
                <c:pt idx="2">
                  <c:v>9126</c:v>
                </c:pt>
                <c:pt idx="3">
                  <c:v>9061</c:v>
                </c:pt>
                <c:pt idx="4">
                  <c:v>8469</c:v>
                </c:pt>
                <c:pt idx="5">
                  <c:v>8882</c:v>
                </c:pt>
                <c:pt idx="6">
                  <c:v>8952</c:v>
                </c:pt>
                <c:pt idx="7">
                  <c:v>8985</c:v>
                </c:pt>
                <c:pt idx="8">
                  <c:v>8622</c:v>
                </c:pt>
                <c:pt idx="9">
                  <c:v>8493</c:v>
                </c:pt>
                <c:pt idx="10">
                  <c:v>9627</c:v>
                </c:pt>
                <c:pt idx="11">
                  <c:v>9959</c:v>
                </c:pt>
                <c:pt idx="12">
                  <c:v>10404</c:v>
                </c:pt>
                <c:pt idx="13">
                  <c:v>10425</c:v>
                </c:pt>
              </c:numCache>
            </c:numRef>
          </c:val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marker>
            <c:symbol val="none"/>
          </c:marker>
          <c:cat>
            <c:multiLvlStrRef>
              <c:f>'ηλικία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'ηλικία '!$N$7:$AA$7</c:f>
              <c:numCache>
                <c:formatCode>#,##0</c:formatCode>
                <c:ptCount val="14"/>
                <c:pt idx="0">
                  <c:v>9492</c:v>
                </c:pt>
                <c:pt idx="1">
                  <c:v>9756</c:v>
                </c:pt>
                <c:pt idx="2">
                  <c:v>9560</c:v>
                </c:pt>
                <c:pt idx="3" formatCode="General">
                  <c:v>9709</c:v>
                </c:pt>
                <c:pt idx="4" formatCode="General">
                  <c:v>9251</c:v>
                </c:pt>
                <c:pt idx="5" formatCode="General">
                  <c:v>9532</c:v>
                </c:pt>
                <c:pt idx="6" formatCode="General">
                  <c:v>9641</c:v>
                </c:pt>
                <c:pt idx="7" formatCode="General">
                  <c:v>10297</c:v>
                </c:pt>
                <c:pt idx="8" formatCode="General">
                  <c:v>10216</c:v>
                </c:pt>
                <c:pt idx="9" formatCode="General">
                  <c:v>10222</c:v>
                </c:pt>
                <c:pt idx="10" formatCode="General">
                  <c:v>11257</c:v>
                </c:pt>
                <c:pt idx="11" formatCode="General">
                  <c:v>11832</c:v>
                </c:pt>
                <c:pt idx="12" formatCode="General">
                  <c:v>12282</c:v>
                </c:pt>
                <c:pt idx="13" formatCode="General">
                  <c:v>12308</c:v>
                </c:pt>
              </c:numCache>
            </c:numRef>
          </c:val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marker>
            <c:symbol val="none"/>
          </c:marker>
          <c:cat>
            <c:multiLvlStrRef>
              <c:f>'ηλικία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'ηλικία '!$N$8:$AA$8</c:f>
              <c:numCache>
                <c:formatCode>General</c:formatCode>
                <c:ptCount val="14"/>
                <c:pt idx="0">
                  <c:v>3301</c:v>
                </c:pt>
                <c:pt idx="1">
                  <c:v>3328</c:v>
                </c:pt>
                <c:pt idx="2">
                  <c:v>3288</c:v>
                </c:pt>
                <c:pt idx="3">
                  <c:v>3416</c:v>
                </c:pt>
                <c:pt idx="4">
                  <c:v>3327</c:v>
                </c:pt>
                <c:pt idx="5">
                  <c:v>3369</c:v>
                </c:pt>
                <c:pt idx="6">
                  <c:v>3434</c:v>
                </c:pt>
                <c:pt idx="7">
                  <c:v>3495</c:v>
                </c:pt>
                <c:pt idx="8">
                  <c:v>3579</c:v>
                </c:pt>
                <c:pt idx="9">
                  <c:v>3647</c:v>
                </c:pt>
                <c:pt idx="10">
                  <c:v>3835</c:v>
                </c:pt>
                <c:pt idx="11">
                  <c:v>3980</c:v>
                </c:pt>
                <c:pt idx="12">
                  <c:v>4183</c:v>
                </c:pt>
                <c:pt idx="13">
                  <c:v>4193</c:v>
                </c:pt>
              </c:numCache>
            </c:numRef>
          </c:val>
        </c:ser>
        <c:marker val="1"/>
        <c:axId val="86951424"/>
        <c:axId val="86952960"/>
      </c:lineChart>
      <c:catAx>
        <c:axId val="86951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6952960"/>
        <c:crosses val="autoZero"/>
        <c:auto val="1"/>
        <c:lblAlgn val="ctr"/>
        <c:lblOffset val="100"/>
      </c:catAx>
      <c:valAx>
        <c:axId val="86952960"/>
        <c:scaling>
          <c:orientation val="minMax"/>
          <c:min val="2000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695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36382536382535"/>
          <c:y val="0.36577181208053694"/>
          <c:w val="0.1426893883586797"/>
          <c:h val="0.45953178671458011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1373390557939916"/>
          <c:y val="3.59712230215827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9185405878319"/>
          <c:y val="0.21607923110330751"/>
          <c:w val="0.59834598377905457"/>
          <c:h val="0.29523140542683929"/>
        </c:manualLayout>
      </c:layout>
      <c:lineChart>
        <c:grouping val="standard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μόρφωση!$N$8:$AA$8</c:f>
              <c:numCache>
                <c:formatCode>#,##0</c:formatCode>
                <c:ptCount val="14"/>
                <c:pt idx="0">
                  <c:v>23553</c:v>
                </c:pt>
                <c:pt idx="1">
                  <c:v>23922</c:v>
                </c:pt>
                <c:pt idx="2">
                  <c:v>23162</c:v>
                </c:pt>
                <c:pt idx="3">
                  <c:v>23364</c:v>
                </c:pt>
                <c:pt idx="4">
                  <c:v>22281</c:v>
                </c:pt>
                <c:pt idx="5">
                  <c:v>22913</c:v>
                </c:pt>
                <c:pt idx="6">
                  <c:v>22972</c:v>
                </c:pt>
                <c:pt idx="7">
                  <c:v>22895</c:v>
                </c:pt>
                <c:pt idx="8">
                  <c:v>22511</c:v>
                </c:pt>
                <c:pt idx="9">
                  <c:v>22258</c:v>
                </c:pt>
                <c:pt idx="10">
                  <c:v>24884</c:v>
                </c:pt>
                <c:pt idx="11">
                  <c:v>25751</c:v>
                </c:pt>
                <c:pt idx="12">
                  <c:v>27003</c:v>
                </c:pt>
                <c:pt idx="13">
                  <c:v>27168</c:v>
                </c:pt>
              </c:numCache>
            </c:numRef>
          </c:val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μόρφωση!$N$9:$AA$9</c:f>
              <c:numCache>
                <c:formatCode>#,##0</c:formatCode>
                <c:ptCount val="14"/>
                <c:pt idx="0">
                  <c:v>10656</c:v>
                </c:pt>
                <c:pt idx="1">
                  <c:v>10422</c:v>
                </c:pt>
                <c:pt idx="2">
                  <c:v>9964</c:v>
                </c:pt>
                <c:pt idx="3" formatCode="General">
                  <c:v>10861</c:v>
                </c:pt>
                <c:pt idx="4" formatCode="General">
                  <c:v>12190</c:v>
                </c:pt>
                <c:pt idx="5" formatCode="General">
                  <c:v>14094</c:v>
                </c:pt>
                <c:pt idx="6" formatCode="General">
                  <c:v>15473</c:v>
                </c:pt>
                <c:pt idx="7" formatCode="General">
                  <c:v>16429</c:v>
                </c:pt>
                <c:pt idx="8" formatCode="General">
                  <c:v>15415</c:v>
                </c:pt>
                <c:pt idx="9" formatCode="General">
                  <c:v>13576</c:v>
                </c:pt>
                <c:pt idx="10" formatCode="General">
                  <c:v>13450</c:v>
                </c:pt>
                <c:pt idx="11" formatCode="General">
                  <c:v>13156</c:v>
                </c:pt>
                <c:pt idx="12" formatCode="General">
                  <c:v>13638</c:v>
                </c:pt>
                <c:pt idx="13" formatCode="General">
                  <c:v>13812</c:v>
                </c:pt>
              </c:numCache>
            </c:numRef>
          </c:val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μόρφωση!$N$5:$AA$5</c:f>
              <c:numCache>
                <c:formatCode>#,##0</c:formatCode>
                <c:ptCount val="14"/>
                <c:pt idx="0">
                  <c:v>11724</c:v>
                </c:pt>
                <c:pt idx="1">
                  <c:v>11765</c:v>
                </c:pt>
                <c:pt idx="2">
                  <c:v>11157</c:v>
                </c:pt>
                <c:pt idx="3">
                  <c:v>10976</c:v>
                </c:pt>
                <c:pt idx="4">
                  <c:v>9953</c:v>
                </c:pt>
                <c:pt idx="5">
                  <c:v>9856</c:v>
                </c:pt>
                <c:pt idx="6">
                  <c:v>9556</c:v>
                </c:pt>
                <c:pt idx="7">
                  <c:v>9127</c:v>
                </c:pt>
                <c:pt idx="8">
                  <c:v>9091</c:v>
                </c:pt>
                <c:pt idx="9">
                  <c:v>9258</c:v>
                </c:pt>
                <c:pt idx="10">
                  <c:v>11000</c:v>
                </c:pt>
                <c:pt idx="11">
                  <c:v>11560</c:v>
                </c:pt>
                <c:pt idx="12">
                  <c:v>12142</c:v>
                </c:pt>
                <c:pt idx="13">
                  <c:v>12224</c:v>
                </c:pt>
              </c:numCache>
            </c:numRef>
          </c:val>
        </c:ser>
        <c:marker val="1"/>
        <c:axId val="87153280"/>
        <c:axId val="86991616"/>
      </c:lineChart>
      <c:catAx>
        <c:axId val="87153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86991616"/>
        <c:crosses val="autoZero"/>
        <c:auto val="1"/>
        <c:lblAlgn val="ctr"/>
        <c:lblOffset val="100"/>
      </c:catAx>
      <c:valAx>
        <c:axId val="8699161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715328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1673819742489886"/>
          <c:y val="0.26258992805755432"/>
          <c:w val="0.24643224113512327"/>
          <c:h val="0.39561740028398257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4814"/>
          <c:y val="3.74533205075220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150841969497192E-2"/>
          <c:y val="0.24094960040107494"/>
          <c:w val="0.58061855670103057"/>
          <c:h val="0.31710480010223657"/>
        </c:manualLayout>
      </c:layout>
      <c:lineChart>
        <c:grouping val="standard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'υπηκοότητα '!$N$4:$AA$4</c:f>
              <c:numCache>
                <c:formatCode>General</c:formatCode>
                <c:ptCount val="14"/>
                <c:pt idx="0">
                  <c:v>8757</c:v>
                </c:pt>
                <c:pt idx="1">
                  <c:v>8874</c:v>
                </c:pt>
                <c:pt idx="2">
                  <c:v>8277</c:v>
                </c:pt>
                <c:pt idx="3">
                  <c:v>7547</c:v>
                </c:pt>
                <c:pt idx="4">
                  <c:v>6433</c:v>
                </c:pt>
                <c:pt idx="5">
                  <c:v>6508</c:v>
                </c:pt>
                <c:pt idx="6">
                  <c:v>6119</c:v>
                </c:pt>
                <c:pt idx="7">
                  <c:v>5561</c:v>
                </c:pt>
                <c:pt idx="8">
                  <c:v>5603</c:v>
                </c:pt>
                <c:pt idx="9">
                  <c:v>5509</c:v>
                </c:pt>
                <c:pt idx="10">
                  <c:v>7329</c:v>
                </c:pt>
                <c:pt idx="11">
                  <c:v>7443</c:v>
                </c:pt>
                <c:pt idx="12">
                  <c:v>7854</c:v>
                </c:pt>
                <c:pt idx="13">
                  <c:v>7856</c:v>
                </c:pt>
              </c:numCache>
            </c:numRef>
          </c:val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marker>
            <c:symbol val="none"/>
          </c:marker>
          <c:cat>
            <c:multiLvlStrRef>
              <c:f>'υπηκοότητα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'υπηκοότητα '!$N$5:$AA$5</c:f>
              <c:numCache>
                <c:formatCode>General</c:formatCode>
                <c:ptCount val="14"/>
                <c:pt idx="0">
                  <c:v>1785</c:v>
                </c:pt>
                <c:pt idx="1">
                  <c:v>1803</c:v>
                </c:pt>
                <c:pt idx="2">
                  <c:v>1691</c:v>
                </c:pt>
                <c:pt idx="3">
                  <c:v>1705</c:v>
                </c:pt>
                <c:pt idx="4">
                  <c:v>1569</c:v>
                </c:pt>
                <c:pt idx="5">
                  <c:v>1555</c:v>
                </c:pt>
                <c:pt idx="6">
                  <c:v>1483</c:v>
                </c:pt>
                <c:pt idx="7">
                  <c:v>1395</c:v>
                </c:pt>
                <c:pt idx="8">
                  <c:v>1460</c:v>
                </c:pt>
                <c:pt idx="9">
                  <c:v>1535</c:v>
                </c:pt>
                <c:pt idx="10">
                  <c:v>1784</c:v>
                </c:pt>
                <c:pt idx="11">
                  <c:v>1843</c:v>
                </c:pt>
                <c:pt idx="12">
                  <c:v>1915</c:v>
                </c:pt>
                <c:pt idx="13">
                  <c:v>1930</c:v>
                </c:pt>
              </c:numCache>
            </c:numRef>
          </c:val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marker>
            <c:symbol val="none"/>
          </c:marker>
          <c:cat>
            <c:multiLvlStrRef>
              <c:f>'υπηκοότητα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'υπηκοότητα '!$N$8:$AA$8</c:f>
              <c:numCache>
                <c:formatCode>General</c:formatCode>
                <c:ptCount val="14"/>
                <c:pt idx="0">
                  <c:v>247</c:v>
                </c:pt>
                <c:pt idx="1">
                  <c:v>222</c:v>
                </c:pt>
                <c:pt idx="2">
                  <c:v>173</c:v>
                </c:pt>
                <c:pt idx="3">
                  <c:v>148</c:v>
                </c:pt>
                <c:pt idx="4">
                  <c:v>128</c:v>
                </c:pt>
                <c:pt idx="5">
                  <c:v>125</c:v>
                </c:pt>
                <c:pt idx="6">
                  <c:v>98</c:v>
                </c:pt>
                <c:pt idx="7">
                  <c:v>79</c:v>
                </c:pt>
                <c:pt idx="8">
                  <c:v>75</c:v>
                </c:pt>
                <c:pt idx="9">
                  <c:v>79</c:v>
                </c:pt>
                <c:pt idx="10">
                  <c:v>70</c:v>
                </c:pt>
                <c:pt idx="11">
                  <c:v>72</c:v>
                </c:pt>
                <c:pt idx="12">
                  <c:v>75</c:v>
                </c:pt>
                <c:pt idx="13">
                  <c:v>76</c:v>
                </c:pt>
              </c:numCache>
            </c:numRef>
          </c:val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marker>
            <c:symbol val="none"/>
          </c:marker>
          <c:cat>
            <c:multiLvlStrRef>
              <c:f>'υπηκοότητα '!$N$1:$AA$2</c:f>
              <c:multiLvlStrCache>
                <c:ptCount val="14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  <c:pt idx="13">
                    <c:v>Φεβρουάριος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'υπηκοότητα '!$N$3:$AA$3</c:f>
              <c:numCache>
                <c:formatCode>General</c:formatCode>
                <c:ptCount val="14"/>
                <c:pt idx="0">
                  <c:v>32937</c:v>
                </c:pt>
                <c:pt idx="1">
                  <c:v>32980</c:v>
                </c:pt>
                <c:pt idx="2">
                  <c:v>32015</c:v>
                </c:pt>
                <c:pt idx="3">
                  <c:v>33681</c:v>
                </c:pt>
                <c:pt idx="4">
                  <c:v>34304</c:v>
                </c:pt>
                <c:pt idx="5">
                  <c:v>36624</c:v>
                </c:pt>
                <c:pt idx="6">
                  <c:v>38303</c:v>
                </c:pt>
                <c:pt idx="7">
                  <c:v>39489</c:v>
                </c:pt>
                <c:pt idx="8">
                  <c:v>37949</c:v>
                </c:pt>
                <c:pt idx="9">
                  <c:v>36020</c:v>
                </c:pt>
                <c:pt idx="10">
                  <c:v>38016</c:v>
                </c:pt>
                <c:pt idx="11">
                  <c:v>38982</c:v>
                </c:pt>
                <c:pt idx="12">
                  <c:v>40742</c:v>
                </c:pt>
                <c:pt idx="13">
                  <c:v>41118</c:v>
                </c:pt>
              </c:numCache>
            </c:numRef>
          </c:val>
        </c:ser>
        <c:marker val="1"/>
        <c:axId val="87010304"/>
        <c:axId val="87028480"/>
      </c:lineChart>
      <c:catAx>
        <c:axId val="87010304"/>
        <c:scaling>
          <c:orientation val="minMax"/>
        </c:scaling>
        <c:axPos val="b"/>
        <c:numFmt formatCode="0" sourceLinked="1"/>
        <c:majorTickMark val="none"/>
        <c:tickLblPos val="nextTo"/>
        <c:txPr>
          <a:bodyPr rot="-5400000" vert="horz"/>
          <a:lstStyle/>
          <a:p>
            <a:pPr>
              <a:defRPr lang="el-GR" sz="900"/>
            </a:pPr>
            <a:endParaRPr lang="en-US"/>
          </a:p>
        </c:txPr>
        <c:crossAx val="87028480"/>
        <c:crosses val="autoZero"/>
        <c:auto val="1"/>
        <c:lblAlgn val="ctr"/>
        <c:lblOffset val="100"/>
      </c:catAx>
      <c:valAx>
        <c:axId val="870284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8701030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809"/>
          <c:w val="0.27419781603474608"/>
          <c:h val="0.55862642169728782"/>
        </c:manualLayout>
      </c:layout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8EC6-0580-4AE7-BB5A-601438C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 </cp:lastModifiedBy>
  <cp:revision>42</cp:revision>
  <cp:lastPrinted>2014-03-20T09:36:00Z</cp:lastPrinted>
  <dcterms:created xsi:type="dcterms:W3CDTF">2014-02-17T11:20:00Z</dcterms:created>
  <dcterms:modified xsi:type="dcterms:W3CDTF">2014-03-20T12:26:00Z</dcterms:modified>
</cp:coreProperties>
</file>